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D54D" w14:textId="2394924E" w:rsidR="00FF1EB4" w:rsidRPr="00CF00BB" w:rsidRDefault="00FF1EB4">
      <w:pPr>
        <w:rPr>
          <w:rFonts w:cstheme="minorHAnsi"/>
        </w:rPr>
      </w:pPr>
    </w:p>
    <w:p w14:paraId="27381012" w14:textId="461EE505" w:rsidR="00FF1EB4" w:rsidRPr="007235F1" w:rsidRDefault="006610C7" w:rsidP="00D421F5">
      <w:pPr>
        <w:tabs>
          <w:tab w:val="right" w:pos="9026"/>
        </w:tabs>
        <w:rPr>
          <w:rFonts w:cstheme="minorHAnsi"/>
        </w:rPr>
      </w:pPr>
      <w:r w:rsidRPr="007235F1">
        <w:rPr>
          <w:rFonts w:cstheme="minorHAnsi"/>
          <w:noProof/>
        </w:rPr>
        <mc:AlternateContent>
          <mc:Choice Requires="wps">
            <w:drawing>
              <wp:anchor distT="45720" distB="45720" distL="114300" distR="114300" simplePos="0" relativeHeight="251662336" behindDoc="0" locked="0" layoutInCell="1" allowOverlap="1" wp14:anchorId="7A12107D" wp14:editId="46604F26">
                <wp:simplePos x="0" y="0"/>
                <wp:positionH relativeFrom="margin">
                  <wp:posOffset>1781175</wp:posOffset>
                </wp:positionH>
                <wp:positionV relativeFrom="paragraph">
                  <wp:posOffset>3562350</wp:posOffset>
                </wp:positionV>
                <wp:extent cx="4454525" cy="1150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150620"/>
                        </a:xfrm>
                        <a:prstGeom prst="rect">
                          <a:avLst/>
                        </a:prstGeom>
                        <a:noFill/>
                        <a:ln w="9525">
                          <a:noFill/>
                          <a:miter lim="800000"/>
                          <a:headEnd/>
                          <a:tailEnd/>
                        </a:ln>
                      </wps:spPr>
                      <wps:txbx>
                        <w:txbxContent>
                          <w:p w14:paraId="491F05C1" w14:textId="5EECA91D" w:rsidR="00D14155" w:rsidRPr="00385D40" w:rsidRDefault="006610C7" w:rsidP="00D14155">
                            <w:pPr>
                              <w:jc w:val="right"/>
                              <w:rPr>
                                <w:rFonts w:ascii="Open Sans" w:hAnsi="Open Sans" w:cs="Open Sans"/>
                                <w:b/>
                                <w:bCs/>
                                <w:color w:val="E57200"/>
                                <w:sz w:val="44"/>
                                <w:szCs w:val="44"/>
                                <w:lang w:val="en-GB"/>
                              </w:rPr>
                            </w:pPr>
                            <w:r>
                              <w:rPr>
                                <w:rFonts w:ascii="Open Sans" w:hAnsi="Open Sans" w:cs="Open Sans"/>
                                <w:b/>
                                <w:bCs/>
                                <w:color w:val="E57200"/>
                                <w:sz w:val="44"/>
                                <w:szCs w:val="44"/>
                                <w:lang w:val="en-GB"/>
                              </w:rPr>
                              <w:t>Submission</w:t>
                            </w:r>
                            <w:r w:rsidR="0051768F" w:rsidRPr="00385D40">
                              <w:rPr>
                                <w:rFonts w:ascii="Open Sans" w:hAnsi="Open Sans" w:cs="Open Sans"/>
                                <w:b/>
                                <w:bCs/>
                                <w:color w:val="E57200"/>
                                <w:sz w:val="44"/>
                                <w:szCs w:val="44"/>
                                <w:lang w:val="en-GB"/>
                              </w:rPr>
                              <w:t xml:space="preserv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2107D" id="_x0000_t202" coordsize="21600,21600" o:spt="202" path="m,l,21600r21600,l21600,xe">
                <v:stroke joinstyle="miter"/>
                <v:path gradientshapeok="t" o:connecttype="rect"/>
              </v:shapetype>
              <v:shape id="Text Box 2" o:spid="_x0000_s1026" type="#_x0000_t202" style="position:absolute;margin-left:140.25pt;margin-top:280.5pt;width:350.75pt;height:9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" filled="f" stroked="f">
                <v:textbox>
                  <w:txbxContent>
                    <w:p w14:paraId="491F05C1" w14:textId="5EECA91D" w:rsidR="00D14155" w:rsidRPr="00385D40" w:rsidRDefault="006610C7" w:rsidP="00D14155">
                      <w:pPr>
                        <w:jc w:val="right"/>
                        <w:rPr>
                          <w:rFonts w:ascii="Open Sans" w:hAnsi="Open Sans" w:cs="Open Sans"/>
                          <w:b/>
                          <w:bCs/>
                          <w:color w:val="E57200"/>
                          <w:sz w:val="44"/>
                          <w:szCs w:val="44"/>
                          <w:lang w:val="en-GB"/>
                        </w:rPr>
                      </w:pPr>
                      <w:r>
                        <w:rPr>
                          <w:rFonts w:ascii="Open Sans" w:hAnsi="Open Sans" w:cs="Open Sans"/>
                          <w:b/>
                          <w:bCs/>
                          <w:color w:val="E57200"/>
                          <w:sz w:val="44"/>
                          <w:szCs w:val="44"/>
                          <w:lang w:val="en-GB"/>
                        </w:rPr>
                        <w:t>Submission</w:t>
                      </w:r>
                      <w:r w:rsidR="0051768F" w:rsidRPr="00385D40">
                        <w:rPr>
                          <w:rFonts w:ascii="Open Sans" w:hAnsi="Open Sans" w:cs="Open Sans"/>
                          <w:b/>
                          <w:bCs/>
                          <w:color w:val="E57200"/>
                          <w:sz w:val="44"/>
                          <w:szCs w:val="44"/>
                          <w:lang w:val="en-GB"/>
                        </w:rPr>
                        <w:t xml:space="preserv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v:textbox>
                <w10:wrap type="square" anchorx="margin"/>
              </v:shape>
            </w:pict>
          </mc:Fallback>
        </mc:AlternateContent>
      </w:r>
      <w:r w:rsidR="00CD5626" w:rsidRPr="007235F1">
        <w:rPr>
          <w:rFonts w:cstheme="minorHAnsi"/>
          <w:noProof/>
        </w:rPr>
        <mc:AlternateContent>
          <mc:Choice Requires="wps">
            <w:drawing>
              <wp:anchor distT="45720" distB="45720" distL="114300" distR="114300" simplePos="0" relativeHeight="251664384" behindDoc="0" locked="0" layoutInCell="1" allowOverlap="1" wp14:anchorId="6FF7DD3C" wp14:editId="7AFCDA76">
                <wp:simplePos x="0" y="0"/>
                <wp:positionH relativeFrom="page">
                  <wp:align>right</wp:align>
                </wp:positionH>
                <wp:positionV relativeFrom="paragraph">
                  <wp:posOffset>6318885</wp:posOffset>
                </wp:positionV>
                <wp:extent cx="2348734" cy="49466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734" cy="494665"/>
                        </a:xfrm>
                        <a:prstGeom prst="rect">
                          <a:avLst/>
                        </a:prstGeom>
                        <a:noFill/>
                        <a:ln w="9525">
                          <a:noFill/>
                          <a:miter lim="800000"/>
                          <a:headEnd/>
                          <a:tailEnd/>
                        </a:ln>
                      </wps:spPr>
                      <wps:txbx>
                        <w:txbxContent>
                          <w:p w14:paraId="22B3906E" w14:textId="70E7C867" w:rsidR="00FF1EB4" w:rsidRPr="00385D40" w:rsidRDefault="0051768F" w:rsidP="00D763E0">
                            <w:pPr>
                              <w:rPr>
                                <w:rFonts w:ascii="Open Sans" w:hAnsi="Open Sans" w:cs="Open Sans"/>
                                <w:b/>
                                <w:bCs/>
                                <w:color w:val="391160"/>
                                <w:spacing w:val="20"/>
                                <w:sz w:val="44"/>
                                <w:szCs w:val="44"/>
                              </w:rPr>
                            </w:pPr>
                            <w:r w:rsidRPr="00385D40">
                              <w:rPr>
                                <w:rFonts w:ascii="Open Sans" w:hAnsi="Open Sans" w:cs="Open Sans"/>
                                <w:b/>
                                <w:bCs/>
                                <w:color w:val="391160"/>
                                <w:spacing w:val="20"/>
                                <w:sz w:val="44"/>
                                <w:szCs w:val="44"/>
                              </w:rPr>
                              <w:t>August</w:t>
                            </w:r>
                            <w:r w:rsidR="00FF1EB4" w:rsidRPr="00385D40">
                              <w:rPr>
                                <w:rFonts w:ascii="Open Sans" w:hAnsi="Open Sans" w:cs="Open Sans"/>
                                <w:b/>
                                <w:bCs/>
                                <w:color w:val="391160"/>
                                <w:spacing w:val="20"/>
                                <w:sz w:val="44"/>
                                <w:szCs w:val="44"/>
                              </w:rPr>
                              <w:t xml:space="preserve"> 20</w:t>
                            </w:r>
                            <w:r w:rsidRPr="00385D40">
                              <w:rPr>
                                <w:rFonts w:ascii="Open Sans" w:hAnsi="Open Sans" w:cs="Open Sans"/>
                                <w:b/>
                                <w:bCs/>
                                <w:color w:val="391160"/>
                                <w:spacing w:val="20"/>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DD3C" id="_x0000_s1027" type="#_x0000_t202" style="position:absolute;margin-left:133.75pt;margin-top:497.55pt;width:184.95pt;height:38.9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" filled="f" stroked="f">
                <v:textbox>
                  <w:txbxContent>
                    <w:p w14:paraId="22B3906E" w14:textId="70E7C867" w:rsidR="00FF1EB4" w:rsidRPr="00385D40" w:rsidRDefault="0051768F" w:rsidP="00D763E0">
                      <w:pPr>
                        <w:rPr>
                          <w:rFonts w:ascii="Open Sans" w:hAnsi="Open Sans" w:cs="Open Sans"/>
                          <w:b/>
                          <w:bCs/>
                          <w:color w:val="391160"/>
                          <w:spacing w:val="20"/>
                          <w:sz w:val="44"/>
                          <w:szCs w:val="44"/>
                        </w:rPr>
                      </w:pPr>
                      <w:r w:rsidRPr="00385D40">
                        <w:rPr>
                          <w:rFonts w:ascii="Open Sans" w:hAnsi="Open Sans" w:cs="Open Sans"/>
                          <w:b/>
                          <w:bCs/>
                          <w:color w:val="391160"/>
                          <w:spacing w:val="20"/>
                          <w:sz w:val="44"/>
                          <w:szCs w:val="44"/>
                        </w:rPr>
                        <w:t>August</w:t>
                      </w:r>
                      <w:r w:rsidR="00FF1EB4" w:rsidRPr="00385D40">
                        <w:rPr>
                          <w:rFonts w:ascii="Open Sans" w:hAnsi="Open Sans" w:cs="Open Sans"/>
                          <w:b/>
                          <w:bCs/>
                          <w:color w:val="391160"/>
                          <w:spacing w:val="20"/>
                          <w:sz w:val="44"/>
                          <w:szCs w:val="44"/>
                        </w:rPr>
                        <w:t xml:space="preserve"> 20</w:t>
                      </w:r>
                      <w:r w:rsidRPr="00385D40">
                        <w:rPr>
                          <w:rFonts w:ascii="Open Sans" w:hAnsi="Open Sans" w:cs="Open Sans"/>
                          <w:b/>
                          <w:bCs/>
                          <w:color w:val="391160"/>
                          <w:spacing w:val="20"/>
                          <w:sz w:val="44"/>
                          <w:szCs w:val="44"/>
                        </w:rPr>
                        <w:t>21</w:t>
                      </w:r>
                    </w:p>
                  </w:txbxContent>
                </v:textbox>
                <w10:wrap anchorx="page"/>
              </v:shape>
            </w:pict>
          </mc:Fallback>
        </mc:AlternateContent>
      </w:r>
      <w:r w:rsidR="00CD5626" w:rsidRPr="007235F1">
        <w:rPr>
          <w:rFonts w:cstheme="minorHAnsi"/>
          <w:noProof/>
        </w:rPr>
        <mc:AlternateContent>
          <mc:Choice Requires="wps">
            <w:drawing>
              <wp:anchor distT="45720" distB="45720" distL="114300" distR="114300" simplePos="0" relativeHeight="251660288" behindDoc="0" locked="0" layoutInCell="1" allowOverlap="1" wp14:anchorId="2F90D442" wp14:editId="0BAB1A40">
                <wp:simplePos x="0" y="0"/>
                <wp:positionH relativeFrom="margin">
                  <wp:posOffset>676166</wp:posOffset>
                </wp:positionH>
                <wp:positionV relativeFrom="paragraph">
                  <wp:posOffset>973082</wp:posOffset>
                </wp:positionV>
                <wp:extent cx="5486400" cy="227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70125"/>
                        </a:xfrm>
                        <a:prstGeom prst="rect">
                          <a:avLst/>
                        </a:prstGeom>
                        <a:noFill/>
                        <a:ln w="9525">
                          <a:noFill/>
                          <a:miter lim="800000"/>
                          <a:headEnd/>
                          <a:tailEnd/>
                        </a:ln>
                      </wps:spPr>
                      <wps:txbx>
                        <w:txbxContent>
                          <w:p w14:paraId="453326FA" w14:textId="3D41C023" w:rsidR="00016DE9" w:rsidRDefault="006610C7" w:rsidP="0051768F">
                            <w:pPr>
                              <w:spacing w:line="240" w:lineRule="auto"/>
                              <w:jc w:val="right"/>
                            </w:pPr>
                            <w:r>
                              <w:rPr>
                                <w:rFonts w:ascii="Arial" w:hAnsi="Arial" w:cs="Arial"/>
                                <w:b/>
                                <w:bCs/>
                                <w:color w:val="391160"/>
                                <w:sz w:val="72"/>
                                <w:szCs w:val="72"/>
                              </w:rPr>
                              <w:t>Parliamentary Inquiry into Mental Health &amp; Suicide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D442" id="_x0000_s1028" type="#_x0000_t202" style="position:absolute;margin-left:53.25pt;margin-top:76.6pt;width:6in;height:17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" filled="f" stroked="f">
                <v:textbox>
                  <w:txbxContent>
                    <w:p w14:paraId="453326FA" w14:textId="3D41C023" w:rsidR="00016DE9" w:rsidRDefault="006610C7" w:rsidP="0051768F">
                      <w:pPr>
                        <w:spacing w:line="240" w:lineRule="auto"/>
                        <w:jc w:val="right"/>
                      </w:pPr>
                      <w:r>
                        <w:rPr>
                          <w:rFonts w:ascii="Arial" w:hAnsi="Arial" w:cs="Arial"/>
                          <w:b/>
                          <w:bCs/>
                          <w:color w:val="391160"/>
                          <w:sz w:val="72"/>
                          <w:szCs w:val="72"/>
                        </w:rPr>
                        <w:t>Parliamentary Inquiry into Mental Health &amp; Suicide Prevention</w:t>
                      </w:r>
                    </w:p>
                  </w:txbxContent>
                </v:textbox>
                <w10:wrap type="square" anchorx="margin"/>
              </v:shape>
            </w:pict>
          </mc:Fallback>
        </mc:AlternateContent>
      </w:r>
      <w:r w:rsidR="00205270" w:rsidRPr="007235F1">
        <w:rPr>
          <w:rFonts w:cstheme="minorHAnsi"/>
          <w:noProof/>
        </w:rPr>
        <mc:AlternateContent>
          <mc:Choice Requires="wps">
            <w:drawing>
              <wp:anchor distT="45720" distB="45720" distL="114300" distR="114300" simplePos="0" relativeHeight="251666432" behindDoc="0" locked="0" layoutInCell="1" allowOverlap="1" wp14:anchorId="6D794794" wp14:editId="016B6A0F">
                <wp:simplePos x="0" y="0"/>
                <wp:positionH relativeFrom="margin">
                  <wp:posOffset>-283210</wp:posOffset>
                </wp:positionH>
                <wp:positionV relativeFrom="paragraph">
                  <wp:posOffset>6618211</wp:posOffset>
                </wp:positionV>
                <wp:extent cx="2443655" cy="1087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1087755"/>
                        </a:xfrm>
                        <a:prstGeom prst="rect">
                          <a:avLst/>
                        </a:prstGeom>
                        <a:noFill/>
                        <a:ln w="9525">
                          <a:noFill/>
                          <a:miter lim="800000"/>
                          <a:headEnd/>
                          <a:tailEnd/>
                        </a:ln>
                      </wps:spPr>
                      <wps:txb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4794" id="_x0000_s1029" type="#_x0000_t202" style="position:absolute;margin-left:-22.3pt;margin-top:521.1pt;width:192.4pt;height:8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" filled="f" stroked="f">
                <v:textbo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v:textbox>
                <w10:wrap anchorx="margin"/>
              </v:shape>
            </w:pict>
          </mc:Fallback>
        </mc:AlternateContent>
      </w:r>
      <w:r w:rsidR="00FF1EB4" w:rsidRPr="007235F1">
        <w:rPr>
          <w:rFonts w:cstheme="minorHAnsi"/>
        </w:rPr>
        <w:br w:type="page"/>
      </w:r>
    </w:p>
    <w:p w14:paraId="10AF3144" w14:textId="3BBC1994" w:rsidR="00FF1EB4" w:rsidRPr="007235F1" w:rsidRDefault="0051768F" w:rsidP="00CA2EDA">
      <w:pPr>
        <w:pStyle w:val="WMHAheading"/>
      </w:pPr>
      <w:r w:rsidRPr="007235F1">
        <w:lastRenderedPageBreak/>
        <w:t>Introduction</w:t>
      </w:r>
    </w:p>
    <w:p w14:paraId="69063CE6" w14:textId="7B4308B6" w:rsidR="0051768F" w:rsidRPr="00ED4EDC" w:rsidRDefault="0051768F" w:rsidP="00ED4EDC">
      <w:pPr>
        <w:pStyle w:val="WMHAbodytext"/>
      </w:pPr>
      <w:r w:rsidRPr="00ED4EDC">
        <w:t xml:space="preserve">The </w:t>
      </w:r>
      <w:hyperlink r:id="rId8" w:history="1">
        <w:r w:rsidRPr="00ED4EDC">
          <w:rPr>
            <w:rStyle w:val="Hyperlink"/>
          </w:rPr>
          <w:t>Women’s Mental Health Alliance</w:t>
        </w:r>
      </w:hyperlink>
      <w:r w:rsidRPr="00ED4EDC">
        <w:t xml:space="preserve"> (the Alliance)</w:t>
      </w:r>
      <w:r w:rsidR="006610C7" w:rsidRPr="00ED4EDC">
        <w:t xml:space="preserve"> thanks the Committee for the opportunity to make a late submission to the Inquiry into Mental Health and Suicide Prevention. </w:t>
      </w:r>
      <w:r w:rsidR="003B2688" w:rsidRPr="00ED4EDC">
        <w:t>This submission has been drafted by Women’s Health Victoria with input from members of the Alliance.</w:t>
      </w:r>
      <w:r w:rsidR="006610C7" w:rsidRPr="00ED4EDC">
        <w:t xml:space="preserve"> At the Committee’s request, we have kept this submission short. We are happy to elaborate further on our submission or provide additional information upon request.</w:t>
      </w:r>
    </w:p>
    <w:p w14:paraId="55B222A1" w14:textId="1C8F018E" w:rsidR="006610C7" w:rsidRPr="006610C7" w:rsidRDefault="006610C7" w:rsidP="006610C7">
      <w:pPr>
        <w:pStyle w:val="WMHAsubheading"/>
      </w:pPr>
      <w:r w:rsidRPr="006610C7">
        <w:t>About the Women’s Mental Health Alliance</w:t>
      </w:r>
    </w:p>
    <w:p w14:paraId="2F5B4050" w14:textId="77C95019" w:rsidR="0051768F" w:rsidRDefault="0051768F" w:rsidP="00ED4EDC">
      <w:pPr>
        <w:pStyle w:val="WMHAbodytext"/>
      </w:pPr>
      <w:r w:rsidRPr="007235F1">
        <w:t xml:space="preserve">The Alliance was established by Women’s Health Victoria in 2019. It is made up of over thirty organisations and individuals who provide expert advice to policy makers and health services on the mental health of women and girls, and undertake advocacy to ensure all women have access to evidence-based, gender-sensitive and trauma-informed mental health support. The Alliance works to ensure the voices of women with lived experience are centred in policy, advocacy and service delivery. The Alliance brings together consumer and carer advocates, service providers, clinicians, women’s health organisations, human rights bodies and researchers. </w:t>
      </w:r>
    </w:p>
    <w:p w14:paraId="0112D37C" w14:textId="70AEA40E" w:rsidR="006610C7" w:rsidRDefault="006610C7" w:rsidP="006610C7">
      <w:pPr>
        <w:pStyle w:val="WMHAsubheading"/>
      </w:pPr>
      <w:r w:rsidRPr="006610C7">
        <w:t>The need for a gender-responsive approach in mental health</w:t>
      </w:r>
    </w:p>
    <w:p w14:paraId="7876DB53" w14:textId="620F9C60" w:rsidR="00895FD6" w:rsidRDefault="00ED4EDC" w:rsidP="00ED4EDC">
      <w:pPr>
        <w:pStyle w:val="WMHAbodytext"/>
      </w:pPr>
      <w:r>
        <w:t>It is widely recognised that g</w:t>
      </w:r>
      <w:r w:rsidRPr="00ED4EDC">
        <w:t xml:space="preserve">ender is a key </w:t>
      </w:r>
      <w:r>
        <w:t xml:space="preserve">social </w:t>
      </w:r>
      <w:r w:rsidRPr="00ED4EDC">
        <w:t>determinant of mental health.</w:t>
      </w:r>
      <w:r w:rsidR="00895FD6">
        <w:rPr>
          <w:rStyle w:val="EndnoteReference"/>
        </w:rPr>
        <w:endnoteReference w:id="1"/>
      </w:r>
      <w:r w:rsidR="00895FD6" w:rsidRPr="00ED4EDC">
        <w:t xml:space="preserve"> Women are approximately twice as likely as men to suffer from a mental illness. This includes both more common conditions such as anxiety and depression</w:t>
      </w:r>
      <w:r w:rsidR="00895FD6">
        <w:t>, as well as</w:t>
      </w:r>
      <w:r w:rsidR="00895FD6" w:rsidRPr="00ED4EDC">
        <w:t xml:space="preserve"> more serious conditions such as </w:t>
      </w:r>
      <w:r w:rsidR="00895FD6">
        <w:t xml:space="preserve">post-traumatic stress disorder, </w:t>
      </w:r>
      <w:r w:rsidR="00895FD6" w:rsidRPr="00ED4EDC">
        <w:t>intentional self-harm and suicidal behaviours.</w:t>
      </w:r>
      <w:r w:rsidR="00895FD6">
        <w:rPr>
          <w:rStyle w:val="EndnoteReference"/>
        </w:rPr>
        <w:endnoteReference w:id="2"/>
      </w:r>
      <w:r w:rsidR="00895FD6" w:rsidRPr="00ED4EDC">
        <w:t xml:space="preserve"> </w:t>
      </w:r>
      <w:r w:rsidR="00895FD6">
        <w:t>Females also make up the majority of people seeking mental health support/services.</w:t>
      </w:r>
      <w:r w:rsidR="00895FD6">
        <w:rPr>
          <w:rStyle w:val="EndnoteReference"/>
        </w:rPr>
        <w:endnoteReference w:id="3"/>
      </w:r>
      <w:r w:rsidR="00895FD6">
        <w:t xml:space="preserve"> </w:t>
      </w:r>
    </w:p>
    <w:p w14:paraId="56471696" w14:textId="344C5BEA" w:rsidR="00895FD6" w:rsidRDefault="00895FD6" w:rsidP="00ED4EDC">
      <w:pPr>
        <w:pStyle w:val="WMHAbodytext"/>
      </w:pPr>
      <w:r>
        <w:t>Despite this,</w:t>
      </w:r>
      <w:r w:rsidRPr="00C81610">
        <w:rPr>
          <w:rFonts w:ascii="Calibri" w:eastAsia="Calibri" w:hAnsi="Calibri" w:cs="Times New Roman"/>
        </w:rPr>
        <w:t xml:space="preserve"> gender </w:t>
      </w:r>
      <w:r>
        <w:rPr>
          <w:rFonts w:ascii="Calibri" w:eastAsia="Calibri" w:hAnsi="Calibri" w:cs="Times New Roman"/>
        </w:rPr>
        <w:t>and women’s mental health are</w:t>
      </w:r>
      <w:r w:rsidRPr="00C81610">
        <w:rPr>
          <w:rFonts w:ascii="Calibri" w:eastAsia="Calibri" w:hAnsi="Calibri" w:cs="Times New Roman"/>
        </w:rPr>
        <w:t xml:space="preserve"> not routinely considered as part of mainstream mental health policy or practice</w:t>
      </w:r>
      <w:r>
        <w:rPr>
          <w:rFonts w:ascii="Calibri" w:eastAsia="Calibri" w:hAnsi="Calibri" w:cs="Times New Roman"/>
        </w:rPr>
        <w:t>,</w:t>
      </w:r>
      <w:r w:rsidR="00E77757">
        <w:rPr>
          <w:rStyle w:val="EndnoteReference"/>
        </w:rPr>
        <w:endnoteReference w:id="4"/>
      </w:r>
      <w:r w:rsidR="00E77757">
        <w:t xml:space="preserve"> </w:t>
      </w:r>
      <w:r w:rsidR="00E77757">
        <w:rPr>
          <w:rFonts w:ascii="Calibri" w:eastAsia="Calibri" w:hAnsi="Calibri" w:cs="Times New Roman"/>
        </w:rPr>
        <w:t>meaning</w:t>
      </w:r>
      <w:r>
        <w:rPr>
          <w:rFonts w:ascii="Calibri" w:eastAsia="Calibri" w:hAnsi="Calibri" w:cs="Times New Roman"/>
        </w:rPr>
        <w:t xml:space="preserve"> most mental health </w:t>
      </w:r>
      <w:r>
        <w:t xml:space="preserve">services are designed based on a male-centric model that does not recognise the specific needs and experiences of women and girls. </w:t>
      </w:r>
    </w:p>
    <w:p w14:paraId="30A55175" w14:textId="392AA4C0" w:rsidR="00414552" w:rsidRPr="00414552" w:rsidRDefault="00895FD6" w:rsidP="00ED4EDC">
      <w:pPr>
        <w:pStyle w:val="WMHAbodytext"/>
        <w:rPr>
          <w:rFonts w:ascii="Calibri" w:eastAsia="Calibri" w:hAnsi="Calibri" w:cs="Times New Roman"/>
        </w:rPr>
      </w:pPr>
      <w:r>
        <w:rPr>
          <w:rFonts w:ascii="Calibri" w:eastAsia="Calibri" w:hAnsi="Calibri" w:cs="Times New Roman"/>
        </w:rPr>
        <w:t xml:space="preserve">This submission focuses on the importance of workforce development and addressing the stigma and discrimination associated with mental ill-health among women as central elements </w:t>
      </w:r>
      <w:r w:rsidR="00E77757">
        <w:rPr>
          <w:rFonts w:ascii="Calibri" w:eastAsia="Calibri" w:hAnsi="Calibri" w:cs="Times New Roman"/>
        </w:rPr>
        <w:t xml:space="preserve">within the Inquiry’s Terms of Reference </w:t>
      </w:r>
      <w:r w:rsidR="00414552">
        <w:rPr>
          <w:rFonts w:ascii="Calibri" w:eastAsia="Calibri" w:hAnsi="Calibri" w:cs="Times New Roman"/>
        </w:rPr>
        <w:t xml:space="preserve">that are required </w:t>
      </w:r>
      <w:r w:rsidR="00E77757">
        <w:rPr>
          <w:rFonts w:ascii="Calibri" w:eastAsia="Calibri" w:hAnsi="Calibri" w:cs="Times New Roman"/>
        </w:rPr>
        <w:t>for</w:t>
      </w:r>
      <w:r>
        <w:rPr>
          <w:rFonts w:ascii="Calibri" w:eastAsia="Calibri" w:hAnsi="Calibri" w:cs="Times New Roman"/>
        </w:rPr>
        <w:t xml:space="preserve"> a more gender-responsive approach to women’s mental health.</w:t>
      </w:r>
    </w:p>
    <w:p w14:paraId="1B46425B" w14:textId="77777777" w:rsidR="00CA2EDA" w:rsidRDefault="00CA2EDA">
      <w:pPr>
        <w:rPr>
          <w:rFonts w:ascii="Open Sans" w:hAnsi="Open Sans" w:cs="Open Sans"/>
          <w:b/>
          <w:color w:val="391160"/>
          <w:sz w:val="44"/>
          <w:szCs w:val="44"/>
        </w:rPr>
      </w:pPr>
      <w:r>
        <w:br w:type="page"/>
      </w:r>
    </w:p>
    <w:p w14:paraId="66641CA1" w14:textId="7C8F29DF" w:rsidR="00895FD6" w:rsidRPr="007235F1" w:rsidRDefault="00895FD6" w:rsidP="00CA2EDA">
      <w:pPr>
        <w:pStyle w:val="WMHAheading"/>
      </w:pPr>
      <w:r w:rsidRPr="007235F1">
        <w:lastRenderedPageBreak/>
        <w:t>Summary of recommendations</w:t>
      </w:r>
    </w:p>
    <w:p w14:paraId="6A1D9A61" w14:textId="172448B3" w:rsidR="00895FD6" w:rsidRPr="0022775C" w:rsidRDefault="0022775C" w:rsidP="0022775C">
      <w:pPr>
        <w:pStyle w:val="WMHAsubheading"/>
      </w:pPr>
      <w:r>
        <w:t>Workforce development</w:t>
      </w:r>
    </w:p>
    <w:p w14:paraId="54109E70" w14:textId="384D9043" w:rsidR="00A6595D" w:rsidRPr="00A6595D" w:rsidRDefault="00A6595D" w:rsidP="0022775C">
      <w:pPr>
        <w:rPr>
          <w:rFonts w:cstheme="minorHAnsi"/>
          <w:b/>
          <w:bCs/>
        </w:rPr>
      </w:pPr>
      <w:r w:rsidRPr="00A6595D">
        <w:rPr>
          <w:rFonts w:cstheme="minorHAnsi"/>
          <w:b/>
          <w:bCs/>
        </w:rPr>
        <w:t>Recommendation 1:</w:t>
      </w:r>
    </w:p>
    <w:p w14:paraId="14BFE88E" w14:textId="106028F9" w:rsidR="0022775C" w:rsidRPr="0022775C" w:rsidRDefault="0022775C" w:rsidP="0022775C">
      <w:pPr>
        <w:rPr>
          <w:rFonts w:cstheme="minorHAnsi"/>
        </w:rPr>
      </w:pPr>
      <w:r>
        <w:rPr>
          <w:rFonts w:cstheme="minorHAnsi"/>
        </w:rPr>
        <w:t xml:space="preserve">Implement a </w:t>
      </w:r>
      <w:r w:rsidRPr="0022775C">
        <w:rPr>
          <w:rFonts w:cstheme="minorHAnsi"/>
        </w:rPr>
        <w:t>gendered approach to building the mental health workforce which incorporates:</w:t>
      </w:r>
    </w:p>
    <w:p w14:paraId="21493A4C"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 xml:space="preserve">Development of a mental health capabilities framework that embeds intersectional gender competence/responsiveness as a priority capability to enable workers to address the specific mental health needs and experiences of women, girls and gender diverse people, including: </w:t>
      </w:r>
    </w:p>
    <w:p w14:paraId="114E3D9E"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 xml:space="preserve">Capability to respond to gendered violence, including family and sexual violence </w:t>
      </w:r>
    </w:p>
    <w:p w14:paraId="019E9F3C"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Capability in gender-responsive trauma-and violence-informed practice</w:t>
      </w:r>
    </w:p>
    <w:p w14:paraId="3D4F6331"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Capability to prevent and respond to gendered violence in mental health facilities</w:t>
      </w:r>
    </w:p>
    <w:p w14:paraId="299D1097"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Capability in gender-informed mental health promotion/primary prevention</w:t>
      </w:r>
    </w:p>
    <w:p w14:paraId="0992423B"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Development of well-defined and practical frameworks for intersectional, gender-responsive trauma-informed mental healthcare and mental health promotion</w:t>
      </w:r>
    </w:p>
    <w:p w14:paraId="4B038EF3"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Training for all existing mental health practitioners and mental health promotion workers in intersectional, gender-responsive, trauma-informed approaches</w:t>
      </w:r>
    </w:p>
    <w:p w14:paraId="628FDEFC"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Pre-service curricula and training for prospective mental health practitioners and mental health promotion workers in intersectional, gender-responsive, trauma-informed approaches</w:t>
      </w:r>
    </w:p>
    <w:p w14:paraId="446A5A2A"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Adequate resourcing to enable mental health workers to be able to invest the time needed to build relationships with consumers/clients/patients, implement gender-responsive and  trauma-informed approaches, and avoid coercive and traumatising practices</w:t>
      </w:r>
    </w:p>
    <w:p w14:paraId="3F11D752"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 xml:space="preserve">Measures to address negative gendered attitudes towards women with lived experience of mental health and psychological distress within the mental health workforce and workforces in related sectors, such as the legal and justice systems </w:t>
      </w:r>
    </w:p>
    <w:p w14:paraId="2A7E4B5E"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 xml:space="preserve">Measures to drive the development and/or expansion of workforce and/or practice models that incorporate a strong emphasis on: </w:t>
      </w:r>
    </w:p>
    <w:p w14:paraId="4A1E222D"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integration of consumer and carer lived experience workforces</w:t>
      </w:r>
    </w:p>
    <w:p w14:paraId="0111E7B3"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holistic and multidisciplinary approaches</w:t>
      </w:r>
    </w:p>
    <w:p w14:paraId="26F27F38" w14:textId="77777777" w:rsidR="0022775C" w:rsidRPr="0022775C" w:rsidRDefault="0022775C" w:rsidP="0022775C">
      <w:pPr>
        <w:pStyle w:val="ListParagraph"/>
        <w:numPr>
          <w:ilvl w:val="1"/>
          <w:numId w:val="14"/>
        </w:numPr>
        <w:contextualSpacing w:val="0"/>
        <w:rPr>
          <w:rFonts w:cstheme="minorHAnsi"/>
        </w:rPr>
      </w:pPr>
      <w:r w:rsidRPr="0022775C">
        <w:rPr>
          <w:rFonts w:cstheme="minorHAnsi"/>
        </w:rPr>
        <w:t>integrated and collaborative approaches across sectors, including strong collaboration with the family violence response sector</w:t>
      </w:r>
    </w:p>
    <w:p w14:paraId="40073BDF"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 xml:space="preserve">A gender-sensitive approach to supporting the health and wellbeing of the mental health workforce, especially in the context of an increasing focus on expanding and embedding the role of peer/lived experience workforces, which are female-dominated </w:t>
      </w:r>
    </w:p>
    <w:p w14:paraId="7090A5A6"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lastRenderedPageBreak/>
        <w:t>Measures to increase the representation of women in senior roles within the clinical and non-clinical workforces, including women with lived experience, and to address power imbalances between the clinical, non-clinical and peer workforces</w:t>
      </w:r>
    </w:p>
    <w:p w14:paraId="782FCC55" w14:textId="77777777" w:rsidR="0022775C" w:rsidRPr="0022775C" w:rsidRDefault="0022775C" w:rsidP="0022775C">
      <w:pPr>
        <w:pStyle w:val="ListParagraph"/>
        <w:numPr>
          <w:ilvl w:val="0"/>
          <w:numId w:val="14"/>
        </w:numPr>
        <w:contextualSpacing w:val="0"/>
        <w:rPr>
          <w:rFonts w:cstheme="minorHAnsi"/>
        </w:rPr>
      </w:pPr>
      <w:r w:rsidRPr="0022775C">
        <w:rPr>
          <w:rFonts w:cstheme="minorHAnsi"/>
        </w:rPr>
        <w:t>Ongoing collection and analysis of intersectional workforce data</w:t>
      </w:r>
    </w:p>
    <w:p w14:paraId="51E41096" w14:textId="57705ABC" w:rsidR="0022775C" w:rsidRPr="00A6595D" w:rsidRDefault="0022775C" w:rsidP="00A6595D">
      <w:pPr>
        <w:rPr>
          <w:rFonts w:cstheme="minorHAnsi"/>
          <w:b/>
          <w:bCs/>
        </w:rPr>
      </w:pPr>
      <w:r w:rsidRPr="00A6595D">
        <w:rPr>
          <w:rFonts w:cstheme="minorHAnsi"/>
          <w:b/>
          <w:bCs/>
        </w:rPr>
        <w:t>Recommendation 2:</w:t>
      </w:r>
    </w:p>
    <w:p w14:paraId="5CBEE2F8" w14:textId="75ED19FE" w:rsidR="0022775C" w:rsidRPr="0022775C" w:rsidRDefault="0022775C" w:rsidP="0022775C">
      <w:pPr>
        <w:rPr>
          <w:rFonts w:cstheme="minorHAnsi"/>
        </w:rPr>
      </w:pPr>
      <w:r>
        <w:rPr>
          <w:rFonts w:cstheme="minorHAnsi"/>
        </w:rPr>
        <w:t>Ensure</w:t>
      </w:r>
      <w:r w:rsidRPr="0022775C">
        <w:rPr>
          <w:rFonts w:cstheme="minorHAnsi"/>
        </w:rPr>
        <w:t xml:space="preserve"> the implementation of gender-responsive workforce development measures and practice models is accompanied by whole-of-organisation approaches to system- and culture change, driven by senior leaders.</w:t>
      </w:r>
    </w:p>
    <w:p w14:paraId="3D8D86B6" w14:textId="0F711343" w:rsidR="00A6595D" w:rsidRPr="00A6595D" w:rsidRDefault="00A6595D" w:rsidP="00A6595D">
      <w:pPr>
        <w:pStyle w:val="WMHAsubheading"/>
      </w:pPr>
      <w:r w:rsidRPr="00A6595D">
        <w:t>Reducing stigma and discrimination</w:t>
      </w:r>
    </w:p>
    <w:p w14:paraId="4A017A6D" w14:textId="2BB799A1" w:rsidR="00E77757" w:rsidRPr="00A6595D" w:rsidRDefault="0022775C" w:rsidP="00A6595D">
      <w:pPr>
        <w:rPr>
          <w:rFonts w:cstheme="minorHAnsi"/>
          <w:b/>
          <w:bCs/>
        </w:rPr>
      </w:pPr>
      <w:r w:rsidRPr="00A6595D">
        <w:rPr>
          <w:rFonts w:cstheme="minorHAnsi"/>
          <w:b/>
          <w:bCs/>
        </w:rPr>
        <w:t>Recommendation 3:</w:t>
      </w:r>
    </w:p>
    <w:p w14:paraId="2FBB12D1" w14:textId="2540180F" w:rsidR="0022775C" w:rsidRDefault="0022775C" w:rsidP="0022775C">
      <w:r>
        <w:t>Ensure any strategy or initiatives to reduce stigma take a gendered approach and consider:</w:t>
      </w:r>
    </w:p>
    <w:p w14:paraId="36CDA32F" w14:textId="77777777" w:rsidR="0022775C" w:rsidRPr="00102923" w:rsidRDefault="0022775C" w:rsidP="0022775C">
      <w:pPr>
        <w:pStyle w:val="ListParagraph"/>
        <w:numPr>
          <w:ilvl w:val="0"/>
          <w:numId w:val="15"/>
        </w:numPr>
        <w:contextualSpacing w:val="0"/>
      </w:pPr>
      <w:r w:rsidRPr="00102923">
        <w:t>Stigma and discrimination both as a cause or driver of poor mental health among women and as a barrier to service access and recovery</w:t>
      </w:r>
    </w:p>
    <w:p w14:paraId="09FA11F4" w14:textId="77777777" w:rsidR="0022775C" w:rsidRPr="00102923" w:rsidRDefault="0022775C" w:rsidP="0022775C">
      <w:pPr>
        <w:pStyle w:val="ListParagraph"/>
        <w:numPr>
          <w:ilvl w:val="0"/>
          <w:numId w:val="15"/>
        </w:numPr>
        <w:contextualSpacing w:val="0"/>
      </w:pPr>
      <w:r w:rsidRPr="00102923">
        <w:t>Stigma and discrimination against women with a mental illness that is experienced both within the community (interpersonal stigma), and in interactions with the mental health system and other service systems (systemic stigma)</w:t>
      </w:r>
    </w:p>
    <w:p w14:paraId="598F62E1" w14:textId="519E446A" w:rsidR="0022775C" w:rsidRPr="00102923" w:rsidRDefault="0022775C" w:rsidP="0022775C">
      <w:pPr>
        <w:pStyle w:val="ListParagraph"/>
        <w:numPr>
          <w:ilvl w:val="0"/>
          <w:numId w:val="15"/>
        </w:numPr>
        <w:contextualSpacing w:val="0"/>
      </w:pPr>
      <w:r w:rsidRPr="00102923">
        <w:t>Stigma related to negative attitudes towards women and girls who have experienced gendered violence (which is a significant cause of poor mental health among women and girls), including victim-blaming and dismissive attitudes</w:t>
      </w:r>
    </w:p>
    <w:p w14:paraId="6CD13624" w14:textId="77777777" w:rsidR="0022775C" w:rsidRPr="00102923" w:rsidRDefault="0022775C" w:rsidP="0022775C">
      <w:pPr>
        <w:pStyle w:val="ListParagraph"/>
        <w:numPr>
          <w:ilvl w:val="0"/>
          <w:numId w:val="15"/>
        </w:numPr>
        <w:contextualSpacing w:val="0"/>
      </w:pPr>
      <w:r w:rsidRPr="00102923">
        <w:t>Intersectional experiences of stigma and discrimination, where gendered attitudes intersect with other forms of discrimination such as racism and homophobia</w:t>
      </w:r>
    </w:p>
    <w:p w14:paraId="3116EC34" w14:textId="35ABCD7A" w:rsidR="0022775C" w:rsidRDefault="0022775C" w:rsidP="0022775C">
      <w:pPr>
        <w:pStyle w:val="ListParagraph"/>
        <w:numPr>
          <w:ilvl w:val="0"/>
          <w:numId w:val="15"/>
        </w:numPr>
        <w:contextualSpacing w:val="0"/>
      </w:pPr>
      <w:r w:rsidRPr="00102923">
        <w:t>Stigma experienced by families and carers of those with mental health conditions, especially mothers</w:t>
      </w:r>
      <w:r>
        <w:t>.</w:t>
      </w:r>
    </w:p>
    <w:p w14:paraId="2D974B9E" w14:textId="1D2D39D3" w:rsidR="0022775C" w:rsidRPr="00A6595D" w:rsidRDefault="0022775C" w:rsidP="00A6595D">
      <w:pPr>
        <w:rPr>
          <w:rFonts w:cstheme="minorHAnsi"/>
          <w:b/>
          <w:bCs/>
        </w:rPr>
      </w:pPr>
      <w:r w:rsidRPr="00A6595D">
        <w:rPr>
          <w:rFonts w:cstheme="minorHAnsi"/>
          <w:b/>
          <w:bCs/>
        </w:rPr>
        <w:t>Recommendation 4:</w:t>
      </w:r>
    </w:p>
    <w:p w14:paraId="1AF69013" w14:textId="76B0F1EC" w:rsidR="0022775C" w:rsidRDefault="0022775C" w:rsidP="0022775C">
      <w:r>
        <w:t xml:space="preserve">Ensure any strategy or initiatives to reduce stigma go beyond addressing ‘attitudes’ to address discriminatory practices and structural inequalities that impact women experiencing mental illness or psychological distress. </w:t>
      </w:r>
    </w:p>
    <w:p w14:paraId="39852F57" w14:textId="2C9F7E78" w:rsidR="00A6595D" w:rsidRPr="00A6595D" w:rsidRDefault="00A6595D" w:rsidP="0022775C">
      <w:pPr>
        <w:rPr>
          <w:rFonts w:cstheme="minorHAnsi"/>
          <w:b/>
          <w:bCs/>
        </w:rPr>
      </w:pPr>
      <w:r w:rsidRPr="00A6595D">
        <w:rPr>
          <w:rFonts w:cstheme="minorHAnsi"/>
          <w:b/>
          <w:bCs/>
        </w:rPr>
        <w:t>Recommendation 5:</w:t>
      </w:r>
    </w:p>
    <w:p w14:paraId="74BCEB9D" w14:textId="57F17B2D" w:rsidR="00A6595D" w:rsidRPr="00367FD8" w:rsidRDefault="00A6595D" w:rsidP="00A6595D">
      <w:pPr>
        <w:rPr>
          <w:rFonts w:cstheme="minorHAnsi"/>
        </w:rPr>
      </w:pPr>
      <w:bookmarkStart w:id="0" w:name="_Hlk80354114"/>
      <w:r>
        <w:t xml:space="preserve">Ensure any anti-stigma messaging or campaigns do not </w:t>
      </w:r>
      <w:r w:rsidR="003570AD">
        <w:t xml:space="preserve">inadvertently </w:t>
      </w:r>
      <w:r w:rsidRPr="003570AD">
        <w:t>reinforce inaccurate</w:t>
      </w:r>
      <w:r w:rsidR="003570AD" w:rsidRPr="003570AD">
        <w:t xml:space="preserve"> and </w:t>
      </w:r>
      <w:r w:rsidRPr="003570AD">
        <w:t>unhelpful ideas about mental ill-health and/or access to mental health services.</w:t>
      </w:r>
    </w:p>
    <w:bookmarkEnd w:id="0"/>
    <w:p w14:paraId="646E5D06" w14:textId="77777777" w:rsidR="00CA2EDA" w:rsidRDefault="00CA2EDA">
      <w:pPr>
        <w:rPr>
          <w:rFonts w:ascii="Open Sans" w:hAnsi="Open Sans" w:cs="Open Sans"/>
          <w:b/>
          <w:color w:val="391160"/>
          <w:sz w:val="44"/>
          <w:szCs w:val="44"/>
        </w:rPr>
      </w:pPr>
      <w:r>
        <w:br w:type="page"/>
      </w:r>
    </w:p>
    <w:p w14:paraId="33F384FE" w14:textId="716C57BA" w:rsidR="00895FD6" w:rsidRPr="007235F1" w:rsidRDefault="00895FD6" w:rsidP="00CA2EDA">
      <w:pPr>
        <w:pStyle w:val="WMHAheading"/>
      </w:pPr>
      <w:r>
        <w:lastRenderedPageBreak/>
        <w:t>Workforce development</w:t>
      </w:r>
    </w:p>
    <w:p w14:paraId="1AB000E3" w14:textId="5998910F" w:rsidR="00895FD6" w:rsidRPr="001B09BE" w:rsidRDefault="00895FD6" w:rsidP="001B09BE">
      <w:pPr>
        <w:pStyle w:val="WMHAsubheading"/>
      </w:pPr>
      <w:r w:rsidRPr="001B09BE">
        <w:t>Capabilities required by mental health practitioners</w:t>
      </w:r>
    </w:p>
    <w:p w14:paraId="4D01D5DF" w14:textId="3EAB65C1" w:rsidR="00895FD6" w:rsidRPr="00F536B4" w:rsidRDefault="00895FD6" w:rsidP="002875BA">
      <w:r w:rsidRPr="00F536B4">
        <w:t xml:space="preserve">A national capabilities framework </w:t>
      </w:r>
      <w:r>
        <w:t xml:space="preserve">or frameworks </w:t>
      </w:r>
      <w:r w:rsidRPr="00F536B4">
        <w:t xml:space="preserve">for </w:t>
      </w:r>
      <w:r>
        <w:t>both clinical and non-clinical mental health workforces is required. This framework or frameworks must include the following elements:</w:t>
      </w:r>
    </w:p>
    <w:p w14:paraId="5E55E4B5" w14:textId="02CA6F34" w:rsidR="00895FD6" w:rsidRPr="00FD7E68" w:rsidRDefault="00CB6262" w:rsidP="00D2713F">
      <w:pPr>
        <w:pStyle w:val="ListParagraph"/>
        <w:numPr>
          <w:ilvl w:val="0"/>
          <w:numId w:val="3"/>
        </w:numPr>
        <w:ind w:hanging="357"/>
        <w:contextualSpacing w:val="0"/>
      </w:pPr>
      <w:r w:rsidRPr="00FD7E68">
        <w:rPr>
          <w:b/>
          <w:bCs/>
        </w:rPr>
        <w:t>Intersectional g</w:t>
      </w:r>
      <w:r w:rsidR="00895FD6" w:rsidRPr="00FD7E68">
        <w:rPr>
          <w:b/>
          <w:bCs/>
        </w:rPr>
        <w:t>ender competence</w:t>
      </w:r>
      <w:r w:rsidR="00895FD6" w:rsidRPr="00FD7E68">
        <w:t>,</w:t>
      </w:r>
      <w:r w:rsidRPr="00FD7E68">
        <w:rPr>
          <w:rStyle w:val="EndnoteReference"/>
          <w:rFonts w:ascii="Calibri" w:eastAsia="Times New Roman" w:hAnsi="Calibri" w:cs="Calibri"/>
          <w:lang w:eastAsia="en-AU"/>
        </w:rPr>
        <w:endnoteReference w:id="5"/>
      </w:r>
      <w:r w:rsidR="00895FD6" w:rsidRPr="00FD7E68">
        <w:t xml:space="preserve"> that is, an understanding of the ways in which gender </w:t>
      </w:r>
      <w:r w:rsidRPr="00FD7E68">
        <w:t xml:space="preserve">and other social factors </w:t>
      </w:r>
      <w:r w:rsidR="00895FD6" w:rsidRPr="00FD7E68">
        <w:t>influence</w:t>
      </w:r>
      <w:r w:rsidRPr="00FD7E68">
        <w:t xml:space="preserve"> women’s</w:t>
      </w:r>
      <w:r w:rsidR="00895FD6" w:rsidRPr="00FD7E68">
        <w:t xml:space="preserve"> mental health and the capability to respond to women’s needs and experiences, including: </w:t>
      </w:r>
    </w:p>
    <w:p w14:paraId="1690C263" w14:textId="2B94A42B" w:rsidR="00895FD6" w:rsidRPr="00FD7E68" w:rsidRDefault="00895FD6" w:rsidP="00D2713F">
      <w:pPr>
        <w:pStyle w:val="ListParagraph"/>
        <w:numPr>
          <w:ilvl w:val="0"/>
          <w:numId w:val="5"/>
        </w:numPr>
        <w:contextualSpacing w:val="0"/>
      </w:pPr>
      <w:r w:rsidRPr="00FD7E68">
        <w:t>Understanding the role of gender as a social determinant of mental health and the importance of a biopsychosocial model;</w:t>
      </w:r>
    </w:p>
    <w:p w14:paraId="46EFF29B" w14:textId="2A47E402" w:rsidR="00895FD6" w:rsidRPr="00FD7E68" w:rsidRDefault="00895FD6" w:rsidP="00D2713F">
      <w:pPr>
        <w:pStyle w:val="ListParagraph"/>
        <w:numPr>
          <w:ilvl w:val="0"/>
          <w:numId w:val="5"/>
        </w:numPr>
        <w:contextualSpacing w:val="0"/>
      </w:pPr>
      <w:r w:rsidRPr="00FD7E68">
        <w:rPr>
          <w:rFonts w:ascii="Calibri" w:eastAsia="Times New Roman" w:hAnsi="Calibri" w:cs="Calibri"/>
          <w:lang w:eastAsia="en-AU"/>
        </w:rPr>
        <w:t xml:space="preserve">Capacity to recognise and address gender-based discriminatory attitudes and behaviours; </w:t>
      </w:r>
    </w:p>
    <w:p w14:paraId="40D4D151" w14:textId="2B18DFFB" w:rsidR="00895FD6" w:rsidRPr="00FD7E68" w:rsidRDefault="00895FD6" w:rsidP="00D2713F">
      <w:pPr>
        <w:pStyle w:val="ListParagraph"/>
        <w:numPr>
          <w:ilvl w:val="0"/>
          <w:numId w:val="5"/>
        </w:numPr>
        <w:contextualSpacing w:val="0"/>
      </w:pPr>
      <w:r w:rsidRPr="00FD7E68">
        <w:rPr>
          <w:rFonts w:ascii="Calibri" w:eastAsia="Times New Roman" w:hAnsi="Calibri" w:cs="Calibri"/>
          <w:lang w:eastAsia="en-AU"/>
        </w:rPr>
        <w:t>Implementing actions to counter gender bias and gendered attitudes, stereotypes and inequalities in research, training and clinical practice</w:t>
      </w:r>
      <w:r w:rsidR="00CB6262" w:rsidRPr="00FD7E68">
        <w:rPr>
          <w:rFonts w:ascii="Calibri" w:eastAsia="Times New Roman" w:hAnsi="Calibri" w:cs="Calibri"/>
          <w:lang w:eastAsia="en-AU"/>
        </w:rPr>
        <w:t>;</w:t>
      </w:r>
      <w:r w:rsidRPr="00FD7E68">
        <w:rPr>
          <w:rFonts w:ascii="Calibri" w:eastAsia="Times New Roman" w:hAnsi="Calibri" w:cs="Calibri"/>
          <w:lang w:eastAsia="en-AU"/>
        </w:rPr>
        <w:t xml:space="preserve"> </w:t>
      </w:r>
    </w:p>
    <w:p w14:paraId="74555B9A" w14:textId="7E98FDC7" w:rsidR="00CB6262" w:rsidRPr="00FD7E68" w:rsidRDefault="00CB6262" w:rsidP="00D2713F">
      <w:pPr>
        <w:pStyle w:val="ListParagraph"/>
        <w:numPr>
          <w:ilvl w:val="0"/>
          <w:numId w:val="5"/>
        </w:numPr>
        <w:contextualSpacing w:val="0"/>
      </w:pPr>
      <w:r w:rsidRPr="00FD7E68">
        <w:rPr>
          <w:rFonts w:ascii="Calibri" w:eastAsia="Times New Roman" w:hAnsi="Calibri" w:cs="Calibri"/>
          <w:lang w:eastAsia="en-AU"/>
        </w:rPr>
        <w:t>Gendered cross-cultural awareness</w:t>
      </w:r>
    </w:p>
    <w:p w14:paraId="1C210FC2" w14:textId="57451D2E" w:rsidR="00895FD6" w:rsidRPr="0043139A" w:rsidRDefault="00895FD6" w:rsidP="00D2713F">
      <w:pPr>
        <w:pStyle w:val="ListParagraph"/>
        <w:numPr>
          <w:ilvl w:val="0"/>
          <w:numId w:val="3"/>
        </w:numPr>
        <w:ind w:hanging="357"/>
        <w:contextualSpacing w:val="0"/>
        <w:rPr>
          <w:b/>
          <w:bCs/>
        </w:rPr>
      </w:pPr>
      <w:bookmarkStart w:id="1" w:name="_Hlk80350741"/>
      <w:r w:rsidRPr="0043139A">
        <w:rPr>
          <w:b/>
          <w:bCs/>
        </w:rPr>
        <w:t xml:space="preserve">Capability to </w:t>
      </w:r>
      <w:r w:rsidR="00EC09EC">
        <w:rPr>
          <w:b/>
          <w:bCs/>
        </w:rPr>
        <w:t>respond to</w:t>
      </w:r>
      <w:r w:rsidRPr="0043139A">
        <w:rPr>
          <w:b/>
          <w:bCs/>
        </w:rPr>
        <w:t xml:space="preserve"> gendered violence</w:t>
      </w:r>
      <w:r>
        <w:rPr>
          <w:b/>
          <w:bCs/>
        </w:rPr>
        <w:t>, including family and sexual violence</w:t>
      </w:r>
      <w:r w:rsidRPr="0043139A">
        <w:rPr>
          <w:b/>
          <w:bCs/>
        </w:rPr>
        <w:t xml:space="preserve"> </w:t>
      </w:r>
    </w:p>
    <w:bookmarkEnd w:id="1"/>
    <w:p w14:paraId="43F3049A" w14:textId="4723DB91" w:rsidR="00895FD6" w:rsidRDefault="00912652" w:rsidP="00D2713F">
      <w:pPr>
        <w:pStyle w:val="ListParagraph"/>
        <w:numPr>
          <w:ilvl w:val="0"/>
          <w:numId w:val="6"/>
        </w:numPr>
        <w:contextualSpacing w:val="0"/>
      </w:pPr>
      <w:r w:rsidRPr="00912652">
        <w:t>Violence against women and girls is one of the most common causes of poor mental health</w:t>
      </w:r>
      <w:r w:rsidR="00895FD6">
        <w:t>. W</w:t>
      </w:r>
      <w:r w:rsidRPr="00912652">
        <w:t>omen who have experienced violence are more likely to suffer from a range of mental health conditions</w:t>
      </w:r>
      <w:r w:rsidR="00895FD6">
        <w:t>, many of which have long-term impacts.</w:t>
      </w:r>
      <w:r w:rsidR="00895FD6">
        <w:rPr>
          <w:rStyle w:val="EndnoteReference"/>
        </w:rPr>
        <w:endnoteReference w:id="6"/>
      </w:r>
      <w:r w:rsidR="00895FD6">
        <w:t xml:space="preserve"> </w:t>
      </w:r>
    </w:p>
    <w:p w14:paraId="0C46C39F" w14:textId="68E001C5" w:rsidR="00895FD6" w:rsidRPr="00322BB0" w:rsidRDefault="00895FD6" w:rsidP="00D2713F">
      <w:pPr>
        <w:pStyle w:val="ListParagraph"/>
        <w:numPr>
          <w:ilvl w:val="0"/>
          <w:numId w:val="6"/>
        </w:numPr>
        <w:contextualSpacing w:val="0"/>
      </w:pPr>
      <w:r>
        <w:t>However, r</w:t>
      </w:r>
      <w:r w:rsidRPr="00322BB0">
        <w:t xml:space="preserve">ecent Australian research shows mental health staff feel unprepared to work with patients/consumers with histories of family violence and sexual abuse. </w:t>
      </w:r>
      <w:r>
        <w:t>For example, t</w:t>
      </w:r>
      <w:r w:rsidRPr="00322BB0">
        <w:t xml:space="preserve">hey frequently do not ask about sexual violence, whether historical or experienced </w:t>
      </w:r>
      <w:r w:rsidR="0024157F">
        <w:t>within mental health services</w:t>
      </w:r>
      <w:r w:rsidRPr="00322BB0">
        <w:t>, and often do not take disclosures seriously, minimise the experience or blame consumers.</w:t>
      </w:r>
      <w:r w:rsidRPr="00241E08">
        <w:rPr>
          <w:vertAlign w:val="superscript"/>
        </w:rPr>
        <w:endnoteReference w:id="7"/>
      </w:r>
      <w:r w:rsidRPr="00895FD6">
        <w:rPr>
          <w:vertAlign w:val="superscript"/>
        </w:rPr>
        <w:t xml:space="preserve"> </w:t>
      </w:r>
    </w:p>
    <w:p w14:paraId="5990DBAC" w14:textId="661FB768" w:rsidR="00895FD6" w:rsidRDefault="00895FD6" w:rsidP="00D2713F">
      <w:pPr>
        <w:pStyle w:val="ListParagraph"/>
        <w:numPr>
          <w:ilvl w:val="0"/>
          <w:numId w:val="6"/>
        </w:numPr>
        <w:contextualSpacing w:val="0"/>
      </w:pPr>
      <w:r>
        <w:t xml:space="preserve">Initiatives implemented following the Victorian Royal Commission into Family Violence – such as the </w:t>
      </w:r>
      <w:hyperlink r:id="rId9" w:history="1">
        <w:r w:rsidRPr="00912652">
          <w:rPr>
            <w:rStyle w:val="Hyperlink"/>
          </w:rPr>
          <w:t>Strengthening Hospital Responses to Family Violence</w:t>
        </w:r>
      </w:hyperlink>
      <w:r>
        <w:t xml:space="preserve"> project and the </w:t>
      </w:r>
      <w:hyperlink r:id="rId10" w:history="1">
        <w:r w:rsidRPr="00912652">
          <w:rPr>
            <w:rStyle w:val="Hyperlink"/>
          </w:rPr>
          <w:t>Specialist Family Violence Advisor Capacity Building Program</w:t>
        </w:r>
      </w:hyperlink>
      <w:r>
        <w:t xml:space="preserve"> in mental health and alcohol and other drug services – have played an important role in building the capability of Victorian mental health practitioners to identify family violence, manage risk and make appropriate referrals. These initiatives warrant further investment and rollout beyond Victoria. However, they stop short of integrating an understanding of the impacts of gendered violence into mental health </w:t>
      </w:r>
      <w:r>
        <w:rPr>
          <w:i/>
          <w:iCs/>
        </w:rPr>
        <w:t>practice</w:t>
      </w:r>
      <w:r>
        <w:t>.</w:t>
      </w:r>
    </w:p>
    <w:p w14:paraId="69CBF568" w14:textId="7A99744D" w:rsidR="00895FD6" w:rsidRDefault="00895FD6" w:rsidP="00D2713F">
      <w:pPr>
        <w:pStyle w:val="ListParagraph"/>
        <w:numPr>
          <w:ilvl w:val="0"/>
          <w:numId w:val="6"/>
        </w:numPr>
        <w:contextualSpacing w:val="0"/>
      </w:pPr>
      <w:r>
        <w:t>Any national mental health workforce strategy must include a focus on building capability to identify and respond to women who have experienced gendered violence, as well as integrating an understanding of the impacts of gendered violence into mental health practice. This should:</w:t>
      </w:r>
    </w:p>
    <w:p w14:paraId="66668352" w14:textId="4F4B38DA" w:rsidR="00895FD6" w:rsidRPr="00CE2D1E" w:rsidRDefault="00895FD6" w:rsidP="00D2713F">
      <w:pPr>
        <w:pStyle w:val="ListParagraph"/>
        <w:numPr>
          <w:ilvl w:val="1"/>
          <w:numId w:val="7"/>
        </w:numPr>
        <w:contextualSpacing w:val="0"/>
      </w:pPr>
      <w:r>
        <w:rPr>
          <w:rFonts w:ascii="Calibri" w:eastAsia="Times New Roman" w:hAnsi="Calibri" w:cs="Calibri"/>
          <w:lang w:eastAsia="en-AU"/>
        </w:rPr>
        <w:t>Include r</w:t>
      </w:r>
      <w:r w:rsidRPr="00DC726D">
        <w:rPr>
          <w:rFonts w:ascii="Calibri" w:eastAsia="Times New Roman" w:hAnsi="Calibri" w:cs="Calibri"/>
          <w:lang w:eastAsia="en-AU"/>
        </w:rPr>
        <w:t>outine screening for trauma and abuse</w:t>
      </w:r>
      <w:r>
        <w:rPr>
          <w:rFonts w:ascii="Calibri" w:eastAsia="Times New Roman" w:hAnsi="Calibri" w:cs="Calibri"/>
          <w:lang w:eastAsia="en-AU"/>
        </w:rPr>
        <w:t xml:space="preserve"> and meaningful incorporation of disclosures into treatment plans:</w:t>
      </w:r>
      <w:r w:rsidRPr="00DC726D">
        <w:rPr>
          <w:rFonts w:ascii="Calibri" w:eastAsia="Times New Roman" w:hAnsi="Calibri" w:cs="Calibri"/>
          <w:b/>
          <w:bCs/>
          <w:lang w:eastAsia="en-AU"/>
        </w:rPr>
        <w:t xml:space="preserve"> </w:t>
      </w:r>
      <w:r w:rsidRPr="00241E08">
        <w:rPr>
          <w:rFonts w:ascii="Calibri" w:eastAsia="Times New Roman" w:hAnsi="Calibri" w:cs="Calibri"/>
          <w:lang w:eastAsia="en-AU"/>
        </w:rPr>
        <w:t>Evidence suggests that victim-survivors of family violence are reluctant to disclose abuse in the absence of direct que</w:t>
      </w:r>
      <w:r w:rsidRPr="00DC726D">
        <w:rPr>
          <w:rFonts w:ascii="Calibri" w:eastAsia="Times New Roman" w:hAnsi="Calibri" w:cs="Calibri"/>
          <w:lang w:eastAsia="en-AU"/>
        </w:rPr>
        <w:t>stioning</w:t>
      </w:r>
      <w:r>
        <w:rPr>
          <w:rFonts w:ascii="Calibri" w:eastAsia="Times New Roman" w:hAnsi="Calibri" w:cs="Calibri"/>
          <w:lang w:eastAsia="en-AU"/>
        </w:rPr>
        <w:t>;</w:t>
      </w:r>
      <w:r w:rsidRPr="00C4075A">
        <w:rPr>
          <w:vertAlign w:val="superscript"/>
          <w:lang w:eastAsia="en-AU"/>
        </w:rPr>
        <w:endnoteReference w:id="8"/>
      </w:r>
      <w:r w:rsidRPr="00DC726D">
        <w:rPr>
          <w:rFonts w:ascii="Calibri" w:eastAsia="Times New Roman" w:hAnsi="Calibri" w:cs="Calibri"/>
          <w:vertAlign w:val="superscript"/>
          <w:lang w:eastAsia="en-AU"/>
        </w:rPr>
        <w:t xml:space="preserve"> </w:t>
      </w:r>
    </w:p>
    <w:p w14:paraId="5E2D5D15" w14:textId="6A1033CC" w:rsidR="00895FD6" w:rsidRDefault="00895FD6" w:rsidP="00D2713F">
      <w:pPr>
        <w:pStyle w:val="ListParagraph"/>
        <w:numPr>
          <w:ilvl w:val="1"/>
          <w:numId w:val="7"/>
        </w:numPr>
        <w:contextualSpacing w:val="0"/>
      </w:pPr>
      <w:r>
        <w:lastRenderedPageBreak/>
        <w:t>Draw on the CATCH model, which i</w:t>
      </w:r>
      <w:r w:rsidRPr="00CE2D1E">
        <w:t xml:space="preserve">dentifies Commitment, Advocacy, Trust, Collaboration, and Health system support as vital in building readiness </w:t>
      </w:r>
      <w:r>
        <w:t>and confidence to provide sensitive care for survivors of family violence;</w:t>
      </w:r>
      <w:r>
        <w:rPr>
          <w:rStyle w:val="EndnoteReference"/>
        </w:rPr>
        <w:endnoteReference w:id="9"/>
      </w:r>
      <w:r>
        <w:t xml:space="preserve"> </w:t>
      </w:r>
    </w:p>
    <w:p w14:paraId="071A3045" w14:textId="09113656" w:rsidR="00895FD6" w:rsidRDefault="00895FD6" w:rsidP="00D2713F">
      <w:pPr>
        <w:pStyle w:val="ListParagraph"/>
        <w:numPr>
          <w:ilvl w:val="1"/>
          <w:numId w:val="7"/>
        </w:numPr>
        <w:contextualSpacing w:val="0"/>
      </w:pPr>
      <w:r>
        <w:t>Align with principles underpinning trauma-informed practice (explored below).</w:t>
      </w:r>
    </w:p>
    <w:p w14:paraId="362A7AFB" w14:textId="7042C167" w:rsidR="00895FD6" w:rsidRPr="00895FD6" w:rsidRDefault="00895FD6" w:rsidP="00D2713F">
      <w:pPr>
        <w:numPr>
          <w:ilvl w:val="0"/>
          <w:numId w:val="3"/>
        </w:numPr>
        <w:ind w:hanging="357"/>
        <w:rPr>
          <w:rFonts w:ascii="Calibri" w:eastAsia="Times New Roman" w:hAnsi="Calibri" w:cs="Calibri"/>
          <w:b/>
          <w:bCs/>
          <w:lang w:eastAsia="en-AU"/>
        </w:rPr>
      </w:pPr>
      <w:bookmarkStart w:id="2" w:name="_Hlk80350772"/>
      <w:r w:rsidRPr="00895FD6">
        <w:rPr>
          <w:rFonts w:ascii="Calibri" w:eastAsia="Times New Roman" w:hAnsi="Calibri" w:cs="Calibri"/>
          <w:b/>
          <w:bCs/>
          <w:lang w:eastAsia="en-AU"/>
        </w:rPr>
        <w:t xml:space="preserve">Capability </w:t>
      </w:r>
      <w:r w:rsidR="00CB6262">
        <w:rPr>
          <w:rFonts w:ascii="Calibri" w:eastAsia="Times New Roman" w:hAnsi="Calibri" w:cs="Calibri"/>
          <w:b/>
          <w:bCs/>
          <w:lang w:eastAsia="en-AU"/>
        </w:rPr>
        <w:t>in gender-responsive trauma-and violence-informed practice</w:t>
      </w:r>
      <w:bookmarkEnd w:id="2"/>
    </w:p>
    <w:p w14:paraId="7130C2E1" w14:textId="0C24DA23" w:rsidR="00A177E5" w:rsidRPr="00895FD6" w:rsidRDefault="00A177E5" w:rsidP="00D2713F">
      <w:pPr>
        <w:pStyle w:val="ListParagraph"/>
        <w:numPr>
          <w:ilvl w:val="0"/>
          <w:numId w:val="8"/>
        </w:numPr>
        <w:contextualSpacing w:val="0"/>
      </w:pPr>
      <w:r>
        <w:t xml:space="preserve">An organisational and practice model that is grounded in understanding and responding to trauma is important in any service that supports women, due to the links between poor mental health and experiences of gendered violence, including family and sexual </w:t>
      </w:r>
      <w:r w:rsidRPr="00895FD6">
        <w:t>violence</w:t>
      </w:r>
      <w:r>
        <w:t>.</w:t>
      </w:r>
      <w:r w:rsidR="004A6B0C">
        <w:rPr>
          <w:rStyle w:val="EndnoteReference"/>
        </w:rPr>
        <w:endnoteReference w:id="10"/>
      </w:r>
    </w:p>
    <w:p w14:paraId="0489413D" w14:textId="470F230D" w:rsidR="00A177E5" w:rsidRDefault="003E2542" w:rsidP="00D2713F">
      <w:pPr>
        <w:pStyle w:val="ListParagraph"/>
        <w:numPr>
          <w:ilvl w:val="0"/>
          <w:numId w:val="8"/>
        </w:numPr>
        <w:contextualSpacing w:val="0"/>
      </w:pPr>
      <w:r>
        <w:t>An effective</w:t>
      </w:r>
      <w:r w:rsidR="00A177E5">
        <w:t xml:space="preserve"> gender-responsive</w:t>
      </w:r>
      <w:r w:rsidR="000F0CEE">
        <w:t xml:space="preserve"> and intersectional</w:t>
      </w:r>
      <w:r w:rsidR="00A177E5">
        <w:t xml:space="preserve"> trauma-informed approach</w:t>
      </w:r>
      <w:r w:rsidR="00F75916">
        <w:t xml:space="preserve"> </w:t>
      </w:r>
      <w:r>
        <w:t>must:</w:t>
      </w:r>
      <w:r>
        <w:rPr>
          <w:rStyle w:val="EndnoteReference"/>
        </w:rPr>
        <w:endnoteReference w:id="11"/>
      </w:r>
    </w:p>
    <w:p w14:paraId="44580262" w14:textId="36C40FBF" w:rsidR="003E2542" w:rsidRDefault="003E2542" w:rsidP="00D2713F">
      <w:pPr>
        <w:pStyle w:val="ListParagraph"/>
        <w:numPr>
          <w:ilvl w:val="1"/>
          <w:numId w:val="9"/>
        </w:numPr>
        <w:contextualSpacing w:val="0"/>
      </w:pPr>
      <w:r>
        <w:t>Be e</w:t>
      </w:r>
      <w:r w:rsidR="00A177E5" w:rsidRPr="009262DF">
        <w:t>mpowering</w:t>
      </w:r>
      <w:r w:rsidR="004A6B0C">
        <w:t>,</w:t>
      </w:r>
      <w:r w:rsidR="00A177E5">
        <w:t xml:space="preserve"> </w:t>
      </w:r>
      <w:r w:rsidR="004A6B0C">
        <w:t>strengths-based</w:t>
      </w:r>
      <w:r w:rsidR="00294515">
        <w:t xml:space="preserve"> and promote autonomy</w:t>
      </w:r>
      <w:r>
        <w:t>;</w:t>
      </w:r>
    </w:p>
    <w:p w14:paraId="72BA43B3" w14:textId="790A970E" w:rsidR="00294515" w:rsidRDefault="00294515" w:rsidP="00D2713F">
      <w:pPr>
        <w:pStyle w:val="ListParagraph"/>
        <w:numPr>
          <w:ilvl w:val="1"/>
          <w:numId w:val="9"/>
        </w:numPr>
        <w:contextualSpacing w:val="0"/>
      </w:pPr>
      <w:r>
        <w:t>Ensure the physical and emotional safety of consumers/survivors;</w:t>
      </w:r>
    </w:p>
    <w:p w14:paraId="4EA2E551" w14:textId="1F8995F0" w:rsidR="00F75916" w:rsidRDefault="003E2542" w:rsidP="00D2713F">
      <w:pPr>
        <w:pStyle w:val="ListParagraph"/>
        <w:numPr>
          <w:ilvl w:val="1"/>
          <w:numId w:val="9"/>
        </w:numPr>
        <w:contextualSpacing w:val="0"/>
      </w:pPr>
      <w:r>
        <w:t xml:space="preserve">Incorporate analysis of </w:t>
      </w:r>
      <w:r w:rsidRPr="00F57FCF">
        <w:t xml:space="preserve">gendered power relations, </w:t>
      </w:r>
      <w:r>
        <w:t>drawing links</w:t>
      </w:r>
      <w:r w:rsidR="00A177E5" w:rsidRPr="009262DF">
        <w:t xml:space="preserve"> between women’s individual</w:t>
      </w:r>
      <w:r w:rsidR="00A177E5">
        <w:t xml:space="preserve"> </w:t>
      </w:r>
      <w:r w:rsidR="00A177E5" w:rsidRPr="009262DF">
        <w:t>experiences and systemic issues of gender inequality and violence</w:t>
      </w:r>
      <w:r>
        <w:t xml:space="preserve">, as well as other forms of systemic oppression </w:t>
      </w:r>
      <w:r w:rsidR="000F0CEE">
        <w:t>such as</w:t>
      </w:r>
      <w:r>
        <w:t xml:space="preserve"> racism, homophobia and poverty;</w:t>
      </w:r>
      <w:r>
        <w:rPr>
          <w:rStyle w:val="EndnoteReference"/>
        </w:rPr>
        <w:endnoteReference w:id="12"/>
      </w:r>
      <w:r w:rsidR="00A177E5">
        <w:t xml:space="preserve"> </w:t>
      </w:r>
    </w:p>
    <w:p w14:paraId="40D10BDA" w14:textId="22A4CCB6" w:rsidR="00F75916" w:rsidRDefault="00294515" w:rsidP="00D2713F">
      <w:pPr>
        <w:pStyle w:val="ListParagraph"/>
        <w:numPr>
          <w:ilvl w:val="1"/>
          <w:numId w:val="9"/>
        </w:numPr>
        <w:contextualSpacing w:val="0"/>
      </w:pPr>
      <w:r>
        <w:t xml:space="preserve">Be responsive to the lived, social and cultural contexts (e.g. recognising gender, race, culture, ethnicity) of consumers, which shape both their needs </w:t>
      </w:r>
      <w:r w:rsidR="0024157F">
        <w:t>and</w:t>
      </w:r>
      <w:r>
        <w:t xml:space="preserve"> </w:t>
      </w:r>
      <w:r w:rsidR="0024157F">
        <w:t xml:space="preserve">their </w:t>
      </w:r>
      <w:r>
        <w:t>recovery and healing pathways;</w:t>
      </w:r>
    </w:p>
    <w:p w14:paraId="2254BEDC" w14:textId="40C02C70" w:rsidR="00A177E5" w:rsidRDefault="003E2542" w:rsidP="00D2713F">
      <w:pPr>
        <w:pStyle w:val="ListParagraph"/>
        <w:numPr>
          <w:ilvl w:val="1"/>
          <w:numId w:val="9"/>
        </w:numPr>
        <w:contextualSpacing w:val="0"/>
      </w:pPr>
      <w:r>
        <w:t>D</w:t>
      </w:r>
      <w:r w:rsidR="00A177E5" w:rsidRPr="00F57FCF">
        <w:t>e-cent</w:t>
      </w:r>
      <w:r w:rsidR="00A177E5">
        <w:t>r</w:t>
      </w:r>
      <w:r>
        <w:t>e</w:t>
      </w:r>
      <w:r w:rsidR="00A177E5" w:rsidRPr="00F57FCF">
        <w:t xml:space="preserve"> therapeutic expertise</w:t>
      </w:r>
      <w:r w:rsidR="004A6B0C">
        <w:t xml:space="preserve"> and emphasise collaboration</w:t>
      </w:r>
      <w:r>
        <w:t>;</w:t>
      </w:r>
    </w:p>
    <w:p w14:paraId="36166C9E" w14:textId="47C7EDF7" w:rsidR="003E2542" w:rsidRDefault="003E2542" w:rsidP="00D2713F">
      <w:pPr>
        <w:pStyle w:val="ListParagraph"/>
        <w:numPr>
          <w:ilvl w:val="1"/>
          <w:numId w:val="9"/>
        </w:numPr>
        <w:contextualSpacing w:val="0"/>
      </w:pPr>
      <w:r>
        <w:t xml:space="preserve">Recognise the potential for coercive practices within mental health settings to be retraumatising and avoid their perpetuation through </w:t>
      </w:r>
      <w:r w:rsidR="00895FD6" w:rsidRPr="00895FD6">
        <w:t xml:space="preserve">training and resources for staff to implement </w:t>
      </w:r>
      <w:r>
        <w:t xml:space="preserve">gender-informed </w:t>
      </w:r>
      <w:r w:rsidR="00895FD6" w:rsidRPr="00895FD6">
        <w:t>alternatives to coercion</w:t>
      </w:r>
      <w:r>
        <w:t>;</w:t>
      </w:r>
      <w:r w:rsidR="00895FD6" w:rsidRPr="003E2542">
        <w:rPr>
          <w:vertAlign w:val="superscript"/>
        </w:rPr>
        <w:endnoteReference w:id="13"/>
      </w:r>
    </w:p>
    <w:p w14:paraId="02D9CFF3" w14:textId="3C6C7E07" w:rsidR="000F0CEE" w:rsidRDefault="000F0CEE" w:rsidP="00D2713F">
      <w:pPr>
        <w:pStyle w:val="ListParagraph"/>
        <w:numPr>
          <w:ilvl w:val="1"/>
          <w:numId w:val="9"/>
        </w:numPr>
        <w:contextualSpacing w:val="0"/>
      </w:pPr>
      <w:r>
        <w:t>E</w:t>
      </w:r>
      <w:r w:rsidR="003E2542" w:rsidRPr="003E2542">
        <w:t>xtend beyond individual practice to the whole organisation ‘from the environment to the reception staff’</w:t>
      </w:r>
      <w:r>
        <w:t>;</w:t>
      </w:r>
      <w:r w:rsidRPr="000F0CEE">
        <w:rPr>
          <w:vertAlign w:val="superscript"/>
        </w:rPr>
        <w:endnoteReference w:id="14"/>
      </w:r>
      <w:r>
        <w:t xml:space="preserve"> and</w:t>
      </w:r>
      <w:r w:rsidR="003E2542" w:rsidRPr="003E2542">
        <w:t xml:space="preserve"> </w:t>
      </w:r>
    </w:p>
    <w:p w14:paraId="566E3888" w14:textId="45E826EE" w:rsidR="003E2542" w:rsidRDefault="000F0CEE" w:rsidP="00D2713F">
      <w:pPr>
        <w:pStyle w:val="ListParagraph"/>
        <w:numPr>
          <w:ilvl w:val="1"/>
          <w:numId w:val="9"/>
        </w:numPr>
        <w:contextualSpacing w:val="0"/>
      </w:pPr>
      <w:r>
        <w:t>I</w:t>
      </w:r>
      <w:r w:rsidR="003E2542" w:rsidRPr="003E2542">
        <w:t>ntegrate care across services, recognising women’s complex needs (mental health problems, family and sexual violence, child abuse, war- and migration-related trauma, alcohol and drug issues).</w:t>
      </w:r>
      <w:r w:rsidRPr="000F0CEE">
        <w:rPr>
          <w:vertAlign w:val="superscript"/>
        </w:rPr>
        <w:endnoteReference w:id="15"/>
      </w:r>
    </w:p>
    <w:p w14:paraId="5643DFA9" w14:textId="6285C9B0" w:rsidR="00895FD6" w:rsidRPr="000F0CEE" w:rsidRDefault="00895FD6" w:rsidP="00D2713F">
      <w:pPr>
        <w:numPr>
          <w:ilvl w:val="0"/>
          <w:numId w:val="3"/>
        </w:numPr>
        <w:ind w:hanging="357"/>
        <w:rPr>
          <w:rFonts w:ascii="Calibri" w:eastAsia="Times New Roman" w:hAnsi="Calibri" w:cs="Calibri"/>
          <w:b/>
          <w:bCs/>
          <w:lang w:eastAsia="en-AU"/>
        </w:rPr>
      </w:pPr>
      <w:bookmarkStart w:id="3" w:name="_Hlk80350800"/>
      <w:r w:rsidRPr="000F0CEE">
        <w:rPr>
          <w:rFonts w:ascii="Calibri" w:eastAsia="Times New Roman" w:hAnsi="Calibri" w:cs="Calibri"/>
          <w:b/>
          <w:bCs/>
          <w:lang w:eastAsia="en-AU"/>
        </w:rPr>
        <w:t>Capability to prevent and respond to gendered violence in mental health facilities</w:t>
      </w:r>
    </w:p>
    <w:bookmarkEnd w:id="3"/>
    <w:p w14:paraId="6C965F23" w14:textId="77777777" w:rsidR="00413070" w:rsidRDefault="000F0CEE" w:rsidP="00D2713F">
      <w:pPr>
        <w:pStyle w:val="ListParagraph"/>
        <w:numPr>
          <w:ilvl w:val="0"/>
          <w:numId w:val="10"/>
        </w:numPr>
        <w:contextualSpacing w:val="0"/>
      </w:pPr>
      <w:r>
        <w:t xml:space="preserve">Women continue to experience unacceptably high rates of gendered </w:t>
      </w:r>
      <w:r w:rsidR="00413070">
        <w:t xml:space="preserve">and sexual </w:t>
      </w:r>
      <w:r>
        <w:t>violence within mental health facilities.</w:t>
      </w:r>
      <w:r>
        <w:rPr>
          <w:rStyle w:val="EndnoteReference"/>
        </w:rPr>
        <w:endnoteReference w:id="16"/>
      </w:r>
      <w:r>
        <w:t xml:space="preserve"> Recognising this, the Royal Commission into Victoria’s Mental Health System has recently recommended that all new and existing mental health facilities be upgraded to enable gender separation. </w:t>
      </w:r>
    </w:p>
    <w:p w14:paraId="373F1D1C" w14:textId="459B2990" w:rsidR="000F0CEE" w:rsidRDefault="000F0CEE" w:rsidP="00D2713F">
      <w:pPr>
        <w:pStyle w:val="ListParagraph"/>
        <w:numPr>
          <w:ilvl w:val="0"/>
          <w:numId w:val="10"/>
        </w:numPr>
        <w:contextualSpacing w:val="0"/>
      </w:pPr>
      <w:r>
        <w:t>However, to be effective</w:t>
      </w:r>
      <w:r w:rsidR="00413070">
        <w:t xml:space="preserve">, </w:t>
      </w:r>
      <w:r>
        <w:t xml:space="preserve">changes to the physical environment must be accompanied by workforce training </w:t>
      </w:r>
      <w:r w:rsidR="00413070">
        <w:t>in preventing and responding to gendered violence. Experience in Victoria has shown that the publication of guidelines on gender/sexual safety is insufficient without workforce training.</w:t>
      </w:r>
      <w:r w:rsidR="00413070">
        <w:rPr>
          <w:rStyle w:val="EndnoteReference"/>
        </w:rPr>
        <w:endnoteReference w:id="17"/>
      </w:r>
    </w:p>
    <w:p w14:paraId="4FC8611E" w14:textId="3CE619BD" w:rsidR="00294515" w:rsidRPr="00294515" w:rsidRDefault="00294515" w:rsidP="00D2713F">
      <w:pPr>
        <w:pStyle w:val="ListParagraph"/>
        <w:numPr>
          <w:ilvl w:val="0"/>
          <w:numId w:val="3"/>
        </w:numPr>
        <w:ind w:hanging="357"/>
        <w:contextualSpacing w:val="0"/>
        <w:rPr>
          <w:b/>
          <w:bCs/>
        </w:rPr>
      </w:pPr>
      <w:r w:rsidRPr="00294515">
        <w:rPr>
          <w:b/>
          <w:bCs/>
        </w:rPr>
        <w:t>Capability in gender-informed mental health promotion/primary prevention</w:t>
      </w:r>
    </w:p>
    <w:p w14:paraId="68BC5A20" w14:textId="4CDAF448" w:rsidR="00CB6262" w:rsidRDefault="0099034F" w:rsidP="00D2713F">
      <w:pPr>
        <w:pStyle w:val="ListParagraph"/>
        <w:numPr>
          <w:ilvl w:val="0"/>
          <w:numId w:val="10"/>
        </w:numPr>
        <w:contextualSpacing w:val="0"/>
      </w:pPr>
      <w:r>
        <w:t xml:space="preserve">In addition to building the gender competence of mental health practitioners, it is essential that any national workforce strategy and capability framework(s) incorporate a strong focus </w:t>
      </w:r>
      <w:r>
        <w:lastRenderedPageBreak/>
        <w:t xml:space="preserve">on building capability </w:t>
      </w:r>
      <w:r w:rsidR="001B09BE">
        <w:t xml:space="preserve">within the health promotion workforce to deliver </w:t>
      </w:r>
      <w:r>
        <w:t>gender-informed mental health promotion/primary prevention</w:t>
      </w:r>
      <w:r w:rsidR="001B09BE">
        <w:t xml:space="preserve"> programs. </w:t>
      </w:r>
    </w:p>
    <w:p w14:paraId="1665098B" w14:textId="07B83AE7" w:rsidR="0099034F" w:rsidRDefault="001B09BE" w:rsidP="00D2713F">
      <w:pPr>
        <w:pStyle w:val="ListParagraph"/>
        <w:numPr>
          <w:ilvl w:val="0"/>
          <w:numId w:val="10"/>
        </w:numPr>
        <w:contextualSpacing w:val="0"/>
      </w:pPr>
      <w:r>
        <w:t xml:space="preserve">Gender competence in mental health </w:t>
      </w:r>
      <w:r w:rsidR="0099034F" w:rsidRPr="0099034F">
        <w:t>promotion require</w:t>
      </w:r>
      <w:r>
        <w:t>s</w:t>
      </w:r>
      <w:r w:rsidR="0099034F" w:rsidRPr="0099034F">
        <w:t xml:space="preserve"> specific acknowledgement of gender-based risks</w:t>
      </w:r>
      <w:r>
        <w:t xml:space="preserve"> (or social determinants)</w:t>
      </w:r>
      <w:r w:rsidR="0099034F">
        <w:t xml:space="preserve">, including experiences of gender discrimination, gendered violence, </w:t>
      </w:r>
      <w:r w:rsidR="000A0A69">
        <w:t xml:space="preserve">income inequality, </w:t>
      </w:r>
      <w:r w:rsidR="0099034F">
        <w:t>gender norms and stereotypes,</w:t>
      </w:r>
      <w:r>
        <w:t xml:space="preserve"> and</w:t>
      </w:r>
      <w:r w:rsidR="0099034F">
        <w:t xml:space="preserve"> </w:t>
      </w:r>
      <w:r>
        <w:t xml:space="preserve">gendered roles including </w:t>
      </w:r>
      <w:r w:rsidR="0099034F">
        <w:t>unpaid care work</w:t>
      </w:r>
      <w:r>
        <w:t>.</w:t>
      </w:r>
    </w:p>
    <w:p w14:paraId="2A6916AD" w14:textId="24BC4377" w:rsidR="00895FD6" w:rsidRPr="001B09BE" w:rsidRDefault="00895FD6" w:rsidP="001B09BE">
      <w:pPr>
        <w:pStyle w:val="WMHAsubheading"/>
      </w:pPr>
      <w:r w:rsidRPr="001B09BE">
        <w:t>Workforce/practice models</w:t>
      </w:r>
    </w:p>
    <w:p w14:paraId="535A4A86" w14:textId="7B19B5EB" w:rsidR="001B09BE" w:rsidRDefault="001B09BE" w:rsidP="001B09BE">
      <w:pPr>
        <w:spacing w:line="257" w:lineRule="auto"/>
      </w:pPr>
      <w:r>
        <w:t xml:space="preserve">In addition to </w:t>
      </w:r>
      <w:r w:rsidR="00D33D43">
        <w:t xml:space="preserve">a focus on </w:t>
      </w:r>
      <w:r>
        <w:t xml:space="preserve">building capability in intersectional, gender-responsive and trauma-informed practice across the mental health and related workforces, any national workforce strategy must </w:t>
      </w:r>
      <w:bookmarkStart w:id="5" w:name="_Hlk80350519"/>
      <w:r w:rsidR="00D33D43">
        <w:t xml:space="preserve">also incorporate measures to drive the </w:t>
      </w:r>
      <w:r w:rsidR="00941218">
        <w:t>development and/or expansion</w:t>
      </w:r>
      <w:r w:rsidR="00D33D43">
        <w:t xml:space="preserve"> of workforce and/or practice models that incorporate a strong emphasis on</w:t>
      </w:r>
      <w:bookmarkEnd w:id="5"/>
      <w:r w:rsidR="00D33D43">
        <w:t>:</w:t>
      </w:r>
    </w:p>
    <w:p w14:paraId="1C97BB66" w14:textId="3C6C7044" w:rsidR="00895FD6" w:rsidRDefault="00941218" w:rsidP="00D2713F">
      <w:pPr>
        <w:pStyle w:val="ListParagraph"/>
        <w:numPr>
          <w:ilvl w:val="0"/>
          <w:numId w:val="10"/>
        </w:numPr>
        <w:contextualSpacing w:val="0"/>
      </w:pPr>
      <w:r>
        <w:t xml:space="preserve">Integration of </w:t>
      </w:r>
      <w:r w:rsidRPr="00941218">
        <w:rPr>
          <w:b/>
          <w:bCs/>
        </w:rPr>
        <w:t>consumer and carer l</w:t>
      </w:r>
      <w:r w:rsidR="00895FD6" w:rsidRPr="00941218">
        <w:rPr>
          <w:b/>
          <w:bCs/>
        </w:rPr>
        <w:t>ived experience workforce</w:t>
      </w:r>
      <w:r w:rsidRPr="00941218">
        <w:rPr>
          <w:b/>
          <w:bCs/>
        </w:rPr>
        <w:t>s</w:t>
      </w:r>
      <w:r>
        <w:t>: For example, the Victorian Mental Illness Awareness Council recommends</w:t>
      </w:r>
      <w:r w:rsidR="00895FD6">
        <w:t xml:space="preserve"> </w:t>
      </w:r>
      <w:r>
        <w:t xml:space="preserve">setting </w:t>
      </w:r>
      <w:r w:rsidR="00895FD6">
        <w:t>target</w:t>
      </w:r>
      <w:r>
        <w:t>s</w:t>
      </w:r>
      <w:r w:rsidR="00895FD6">
        <w:t>/quota</w:t>
      </w:r>
      <w:r>
        <w:t>s</w:t>
      </w:r>
      <w:r w:rsidR="00895FD6">
        <w:t xml:space="preserve"> for consumer workforces and </w:t>
      </w:r>
      <w:r>
        <w:t xml:space="preserve">the full integration of </w:t>
      </w:r>
      <w:r w:rsidR="00895FD6">
        <w:t>these positions into services and clinical teams.</w:t>
      </w:r>
      <w:r w:rsidR="00895FD6" w:rsidRPr="00941218">
        <w:rPr>
          <w:vertAlign w:val="superscript"/>
        </w:rPr>
        <w:endnoteReference w:id="18"/>
      </w:r>
      <w:r w:rsidR="00895FD6" w:rsidRPr="00941218">
        <w:rPr>
          <w:vertAlign w:val="superscript"/>
        </w:rPr>
        <w:t xml:space="preserve"> </w:t>
      </w:r>
    </w:p>
    <w:p w14:paraId="1A68A09F" w14:textId="11FADD4B" w:rsidR="00895FD6" w:rsidRDefault="000A0A69" w:rsidP="00D2713F">
      <w:pPr>
        <w:pStyle w:val="ListParagraph"/>
        <w:numPr>
          <w:ilvl w:val="0"/>
          <w:numId w:val="10"/>
        </w:numPr>
        <w:contextualSpacing w:val="0"/>
      </w:pPr>
      <w:r>
        <w:rPr>
          <w:b/>
          <w:bCs/>
        </w:rPr>
        <w:t>Holistic and m</w:t>
      </w:r>
      <w:r w:rsidR="00895FD6" w:rsidRPr="00941218">
        <w:rPr>
          <w:b/>
          <w:bCs/>
        </w:rPr>
        <w:t xml:space="preserve">ultidisciplinary </w:t>
      </w:r>
      <w:r w:rsidR="00941218" w:rsidRPr="00941218">
        <w:rPr>
          <w:b/>
          <w:bCs/>
        </w:rPr>
        <w:t>approaches</w:t>
      </w:r>
      <w:r w:rsidR="00941218">
        <w:t xml:space="preserve">: </w:t>
      </w:r>
      <w:r w:rsidR="00EF7D45">
        <w:t>Women consistently ask for a more holistic approach that addresses mental health within the broader context of their lives.</w:t>
      </w:r>
      <w:r w:rsidR="00EF7D45">
        <w:rPr>
          <w:rStyle w:val="EndnoteReference"/>
        </w:rPr>
        <w:endnoteReference w:id="19"/>
      </w:r>
      <w:r w:rsidR="00EF7D45">
        <w:t xml:space="preserve"> </w:t>
      </w:r>
      <w:r w:rsidR="00941218">
        <w:t xml:space="preserve">A biopsychosocial approach to mental ill-health means </w:t>
      </w:r>
      <w:r w:rsidR="00895FD6">
        <w:t>moving away from a biomedical model to a broader view of women’s mental distress that recognises and addresses social harms a</w:t>
      </w:r>
      <w:r w:rsidR="00941218">
        <w:t>n</w:t>
      </w:r>
      <w:r w:rsidR="00895FD6">
        <w:t>d inequities</w:t>
      </w:r>
      <w:r>
        <w:t>. T</w:t>
      </w:r>
      <w:r w:rsidR="00895FD6">
        <w:t xml:space="preserve">his </w:t>
      </w:r>
      <w:r w:rsidR="00895FD6" w:rsidRPr="00AB6EF9">
        <w:t>opens up practice opportunities that extend beyond treating ‘dysfunction’ and ‘symptoms</w:t>
      </w:r>
      <w:r w:rsidR="00895FD6">
        <w:t>’</w:t>
      </w:r>
      <w:r w:rsidR="00941218">
        <w:t>.</w:t>
      </w:r>
      <w:r w:rsidR="00941218">
        <w:rPr>
          <w:rStyle w:val="EndnoteReference"/>
        </w:rPr>
        <w:endnoteReference w:id="20"/>
      </w:r>
      <w:r w:rsidR="00895FD6">
        <w:t xml:space="preserve"> </w:t>
      </w:r>
      <w:r w:rsidR="00EF7D45">
        <w:t>A holistic approach must also</w:t>
      </w:r>
      <w:r>
        <w:t xml:space="preserve"> include practice models that address physical and mental health together, as seen for example at the </w:t>
      </w:r>
      <w:hyperlink r:id="rId11" w:history="1">
        <w:r w:rsidRPr="000A0A69">
          <w:rPr>
            <w:rStyle w:val="Hyperlink"/>
          </w:rPr>
          <w:t>Women’s Mental Health Clinic run by Monash Alfred Psychiatry research centre</w:t>
        </w:r>
      </w:hyperlink>
      <w:r>
        <w:t xml:space="preserve"> (MAPrc)</w:t>
      </w:r>
      <w:r w:rsidR="00EF7D45">
        <w:t>.</w:t>
      </w:r>
    </w:p>
    <w:p w14:paraId="3AE6B9E5" w14:textId="28B24993" w:rsidR="00895FD6" w:rsidRDefault="00895FD6" w:rsidP="00D2713F">
      <w:pPr>
        <w:pStyle w:val="ListParagraph"/>
        <w:numPr>
          <w:ilvl w:val="0"/>
          <w:numId w:val="10"/>
        </w:numPr>
        <w:contextualSpacing w:val="0"/>
      </w:pPr>
      <w:r w:rsidRPr="000A0A69">
        <w:rPr>
          <w:b/>
          <w:bCs/>
        </w:rPr>
        <w:t>Integrated</w:t>
      </w:r>
      <w:r w:rsidR="000A0A69" w:rsidRPr="000A0A69">
        <w:rPr>
          <w:b/>
          <w:bCs/>
        </w:rPr>
        <w:t xml:space="preserve"> and </w:t>
      </w:r>
      <w:r w:rsidRPr="000A0A69">
        <w:rPr>
          <w:b/>
          <w:bCs/>
        </w:rPr>
        <w:t xml:space="preserve">collaborative </w:t>
      </w:r>
      <w:r w:rsidR="000A0A69" w:rsidRPr="000A0A69">
        <w:rPr>
          <w:b/>
          <w:bCs/>
        </w:rPr>
        <w:t>approaches across sectors</w:t>
      </w:r>
      <w:r w:rsidR="000A0A69">
        <w:t xml:space="preserve">, including strong collaboration and warm referrals with the </w:t>
      </w:r>
      <w:r>
        <w:t>family violence response</w:t>
      </w:r>
      <w:r w:rsidR="000A0A69">
        <w:t>, housing and homelessness, and alcohol and other drug sectors.</w:t>
      </w:r>
    </w:p>
    <w:p w14:paraId="4EDFA7B2" w14:textId="6A326155" w:rsidR="000A0A69" w:rsidRPr="00EF7D45" w:rsidRDefault="000A0A69" w:rsidP="00D2713F">
      <w:pPr>
        <w:pStyle w:val="ListParagraph"/>
        <w:numPr>
          <w:ilvl w:val="0"/>
          <w:numId w:val="10"/>
        </w:numPr>
        <w:contextualSpacing w:val="0"/>
        <w:rPr>
          <w:b/>
          <w:bCs/>
        </w:rPr>
      </w:pPr>
      <w:r w:rsidRPr="00EF7D45">
        <w:rPr>
          <w:b/>
          <w:bCs/>
        </w:rPr>
        <w:t>Place-based</w:t>
      </w:r>
      <w:r w:rsidR="00EF7D45">
        <w:rPr>
          <w:b/>
          <w:bCs/>
        </w:rPr>
        <w:t>,</w:t>
      </w:r>
      <w:r w:rsidRPr="00EF7D45">
        <w:rPr>
          <w:b/>
          <w:bCs/>
        </w:rPr>
        <w:t xml:space="preserve"> collective impact approaches to mental health promotion</w:t>
      </w:r>
      <w:r w:rsidR="00EF7D45">
        <w:rPr>
          <w:b/>
          <w:bCs/>
        </w:rPr>
        <w:t>:</w:t>
      </w:r>
      <w:r w:rsidR="00EF7D45">
        <w:t xml:space="preserve"> There are opportunities to draw on promising practice from the prevention of violence against women sector to develop </w:t>
      </w:r>
      <w:r w:rsidR="0047498F">
        <w:t>locally-relevant</w:t>
      </w:r>
      <w:r w:rsidR="00EF7D45">
        <w:t>, gender-informed approaches to the primary prevention of mental ill-health.</w:t>
      </w:r>
      <w:r w:rsidR="00EF7D45">
        <w:rPr>
          <w:rStyle w:val="EndnoteReference"/>
        </w:rPr>
        <w:endnoteReference w:id="21"/>
      </w:r>
      <w:r w:rsidR="00EF7D45">
        <w:t xml:space="preserve">  </w:t>
      </w:r>
    </w:p>
    <w:p w14:paraId="1865E38C" w14:textId="4ABF1AEB" w:rsidR="00895FD6" w:rsidRPr="001B09BE" w:rsidRDefault="001B09BE" w:rsidP="001B09BE">
      <w:pPr>
        <w:pStyle w:val="WMHAsubheading"/>
      </w:pPr>
      <w:r>
        <w:t>Workforce attitudes and behaviours</w:t>
      </w:r>
    </w:p>
    <w:p w14:paraId="17D72A48" w14:textId="7E0B1EEA" w:rsidR="00895FD6" w:rsidRDefault="00EF7D45" w:rsidP="00EF7D45">
      <w:r>
        <w:t xml:space="preserve">Any national workforce strategy must address negative gendered attitudes (stigma and discrimination) towards women with lived experience of mental health and psychological distress within the mental health workforce and workforces in related sectors, such as the legal and justice systems. </w:t>
      </w:r>
    </w:p>
    <w:p w14:paraId="0BAE0573" w14:textId="5ED0A567" w:rsidR="00EF7D45" w:rsidRDefault="00EF7D45" w:rsidP="00EF7D45">
      <w:r>
        <w:t xml:space="preserve">Further detail is included </w:t>
      </w:r>
      <w:r w:rsidR="0047498F">
        <w:t xml:space="preserve">in the section of this submission on </w:t>
      </w:r>
      <w:r w:rsidR="0047498F" w:rsidRPr="009C44D8">
        <w:t>‘Reducing stigma and discrimination’.</w:t>
      </w:r>
      <w:r w:rsidR="0047498F">
        <w:t xml:space="preserve"> </w:t>
      </w:r>
    </w:p>
    <w:p w14:paraId="637DC7C3" w14:textId="405E360F" w:rsidR="001B09BE" w:rsidRDefault="00895FD6" w:rsidP="001B09BE">
      <w:pPr>
        <w:pStyle w:val="WMHAsubheading"/>
      </w:pPr>
      <w:r w:rsidRPr="001B09BE">
        <w:t xml:space="preserve">System and cultural change </w:t>
      </w:r>
    </w:p>
    <w:p w14:paraId="0EEF85C2" w14:textId="67A67F87" w:rsidR="001B09BE" w:rsidRDefault="0047498F" w:rsidP="001B09BE">
      <w:pPr>
        <w:rPr>
          <w:rFonts w:ascii="Calibri" w:eastAsia="Calibri" w:hAnsi="Calibri" w:cs="Calibri"/>
        </w:rPr>
      </w:pPr>
      <w:r>
        <w:rPr>
          <w:rFonts w:ascii="Calibri" w:eastAsia="Calibri" w:hAnsi="Calibri" w:cs="Calibri"/>
        </w:rPr>
        <w:t xml:space="preserve">Workforce training and capability-building is insufficient </w:t>
      </w:r>
      <w:r w:rsidR="001B09BE" w:rsidRPr="001B09BE">
        <w:rPr>
          <w:rFonts w:ascii="Calibri" w:eastAsia="Calibri" w:hAnsi="Calibri" w:cs="Calibri"/>
        </w:rPr>
        <w:t>to address entrenched attitudes</w:t>
      </w:r>
      <w:r>
        <w:rPr>
          <w:rFonts w:ascii="Calibri" w:eastAsia="Calibri" w:hAnsi="Calibri" w:cs="Calibri"/>
        </w:rPr>
        <w:t xml:space="preserve"> and</w:t>
      </w:r>
      <w:r w:rsidR="001B09BE" w:rsidRPr="001B09BE">
        <w:rPr>
          <w:rFonts w:ascii="Calibri" w:eastAsia="Calibri" w:hAnsi="Calibri" w:cs="Calibri"/>
        </w:rPr>
        <w:t xml:space="preserve"> behaviours </w:t>
      </w:r>
      <w:r>
        <w:rPr>
          <w:rFonts w:ascii="Calibri" w:eastAsia="Calibri" w:hAnsi="Calibri" w:cs="Calibri"/>
        </w:rPr>
        <w:t xml:space="preserve">and dismantle harmful and discriminatory practices and structures. Workforce </w:t>
      </w:r>
      <w:r>
        <w:rPr>
          <w:rFonts w:ascii="Calibri" w:eastAsia="Calibri" w:hAnsi="Calibri" w:cs="Calibri"/>
        </w:rPr>
        <w:lastRenderedPageBreak/>
        <w:t xml:space="preserve">development must </w:t>
      </w:r>
      <w:bookmarkStart w:id="6" w:name="_Hlk80350880"/>
      <w:r>
        <w:rPr>
          <w:rFonts w:ascii="Calibri" w:eastAsia="Calibri" w:hAnsi="Calibri" w:cs="Calibri"/>
        </w:rPr>
        <w:t>be accompanied by whole-of-organisation approaches to system- and culture change, driven by senior leaders</w:t>
      </w:r>
      <w:bookmarkEnd w:id="6"/>
      <w:r>
        <w:rPr>
          <w:rFonts w:ascii="Calibri" w:eastAsia="Calibri" w:hAnsi="Calibri" w:cs="Calibri"/>
        </w:rPr>
        <w:t xml:space="preserve">. </w:t>
      </w:r>
    </w:p>
    <w:p w14:paraId="773317D6" w14:textId="48A3BEE1" w:rsidR="00895FD6" w:rsidRPr="0089050E" w:rsidRDefault="0047498F" w:rsidP="00B30EC8">
      <w:r>
        <w:rPr>
          <w:rFonts w:ascii="Calibri" w:eastAsia="Calibri" w:hAnsi="Calibri" w:cs="Calibri"/>
        </w:rPr>
        <w:t xml:space="preserve">For example, research shows that some mental health staff </w:t>
      </w:r>
      <w:r w:rsidR="00895FD6" w:rsidRPr="00E60903">
        <w:rPr>
          <w:rFonts w:ascii="Calibri" w:eastAsia="Times New Roman" w:hAnsi="Calibri" w:cs="Calibri"/>
          <w:lang w:eastAsia="en-AU"/>
        </w:rPr>
        <w:t>see providing gender-responsive care as the responsibility of others, and point out that there is not enough time to build the relationships with inpatients required for gender-responsive care</w:t>
      </w:r>
      <w:r>
        <w:rPr>
          <w:rFonts w:ascii="Calibri" w:eastAsia="Times New Roman" w:hAnsi="Calibri" w:cs="Calibri"/>
          <w:lang w:eastAsia="en-AU"/>
        </w:rPr>
        <w:t>.</w:t>
      </w:r>
      <w:r w:rsidR="00895FD6" w:rsidRPr="00C4075A">
        <w:rPr>
          <w:rFonts w:eastAsia="Times New Roman"/>
          <w:vertAlign w:val="superscript"/>
          <w:lang w:eastAsia="en-AU"/>
        </w:rPr>
        <w:endnoteReference w:id="22"/>
      </w:r>
      <w:r w:rsidR="00895FD6" w:rsidRPr="00C4075A">
        <w:rPr>
          <w:rFonts w:ascii="Calibri" w:eastAsia="Times New Roman" w:hAnsi="Calibri" w:cs="Calibri"/>
          <w:vertAlign w:val="superscript"/>
          <w:lang w:eastAsia="en-AU"/>
        </w:rPr>
        <w:t xml:space="preserve"> </w:t>
      </w:r>
      <w:r w:rsidRPr="0047498F">
        <w:rPr>
          <w:rFonts w:ascii="Calibri" w:eastAsia="Times New Roman" w:hAnsi="Calibri" w:cs="Calibri"/>
          <w:lang w:eastAsia="en-AU"/>
        </w:rPr>
        <w:t>This</w:t>
      </w:r>
      <w:r>
        <w:rPr>
          <w:rFonts w:ascii="Calibri" w:eastAsia="Times New Roman" w:hAnsi="Calibri" w:cs="Calibri"/>
          <w:vertAlign w:val="superscript"/>
          <w:lang w:eastAsia="en-AU"/>
        </w:rPr>
        <w:t xml:space="preserve"> </w:t>
      </w:r>
      <w:r w:rsidR="00895FD6">
        <w:rPr>
          <w:rFonts w:ascii="Calibri" w:eastAsia="Times New Roman" w:hAnsi="Calibri" w:cs="Calibri"/>
          <w:lang w:eastAsia="en-AU"/>
        </w:rPr>
        <w:t>highlight</w:t>
      </w:r>
      <w:r>
        <w:rPr>
          <w:rFonts w:ascii="Calibri" w:eastAsia="Times New Roman" w:hAnsi="Calibri" w:cs="Calibri"/>
          <w:lang w:eastAsia="en-AU"/>
        </w:rPr>
        <w:t>s</w:t>
      </w:r>
      <w:r w:rsidR="00895FD6">
        <w:rPr>
          <w:rFonts w:ascii="Calibri" w:eastAsia="Times New Roman" w:hAnsi="Calibri" w:cs="Calibri"/>
          <w:lang w:eastAsia="en-AU"/>
        </w:rPr>
        <w:t xml:space="preserve"> the importance of whole-of-organisation capacity-building and a commitment from leadership.</w:t>
      </w:r>
      <w:r w:rsidR="00B30EC8">
        <w:rPr>
          <w:rFonts w:ascii="Calibri" w:eastAsia="Times New Roman" w:hAnsi="Calibri" w:cs="Calibri"/>
          <w:lang w:eastAsia="en-AU"/>
        </w:rPr>
        <w:t xml:space="preserve"> </w:t>
      </w:r>
      <w:r w:rsidR="00895FD6">
        <w:rPr>
          <w:rFonts w:ascii="Calibri" w:eastAsia="Calibri" w:hAnsi="Calibri" w:cs="Calibri"/>
        </w:rPr>
        <w:t>I</w:t>
      </w:r>
      <w:r w:rsidR="00895FD6" w:rsidRPr="0089050E">
        <w:rPr>
          <w:rFonts w:ascii="Calibri" w:eastAsia="Calibri" w:hAnsi="Calibri" w:cs="Calibri"/>
        </w:rPr>
        <w:t>t is essential that senior staff are engaged and buy into the change process, prioritise the issue, and role-model attitudes and behaviours. This will also help to manage resistance.</w:t>
      </w:r>
    </w:p>
    <w:p w14:paraId="7E265C62" w14:textId="59CB8BC6" w:rsidR="00895FD6" w:rsidRPr="001B7FFC" w:rsidRDefault="00895FD6" w:rsidP="00B30EC8">
      <w:pPr>
        <w:spacing w:line="257" w:lineRule="auto"/>
      </w:pPr>
      <w:r w:rsidRPr="00B30EC8">
        <w:rPr>
          <w:rFonts w:ascii="Calibri" w:eastAsia="Calibri" w:hAnsi="Calibri" w:cs="Calibri"/>
        </w:rPr>
        <w:t>Mechanisms for accountability and transparency (for example, requirements for all sexual safety incidents to be reported to the CEO) are</w:t>
      </w:r>
      <w:r w:rsidR="00B30EC8">
        <w:rPr>
          <w:rFonts w:ascii="Calibri" w:eastAsia="Calibri" w:hAnsi="Calibri" w:cs="Calibri"/>
        </w:rPr>
        <w:t xml:space="preserve"> also</w:t>
      </w:r>
      <w:r w:rsidRPr="00B30EC8">
        <w:rPr>
          <w:rFonts w:ascii="Calibri" w:eastAsia="Calibri" w:hAnsi="Calibri" w:cs="Calibri"/>
        </w:rPr>
        <w:t xml:space="preserve"> important to drive engagement and prioritisation at the leadership and middle management levels, but must be accompanied by values-driven change management. </w:t>
      </w:r>
    </w:p>
    <w:p w14:paraId="0FFD0080" w14:textId="5AC8A5D1" w:rsidR="00B30EC8" w:rsidRDefault="00B30EC8" w:rsidP="002875BA">
      <w:pPr>
        <w:spacing w:line="257" w:lineRule="auto"/>
        <w:rPr>
          <w:rFonts w:ascii="Calibri" w:eastAsia="Calibri" w:hAnsi="Calibri" w:cs="Calibri"/>
        </w:rPr>
      </w:pPr>
      <w:r>
        <w:rPr>
          <w:rFonts w:ascii="Open Sans" w:hAnsi="Open Sans" w:cs="Open Sans"/>
          <w:b/>
          <w:color w:val="E57200"/>
          <w:spacing w:val="-10"/>
          <w:kern w:val="28"/>
          <w:sz w:val="28"/>
          <w:szCs w:val="28"/>
        </w:rPr>
        <w:t>S</w:t>
      </w:r>
      <w:r w:rsidR="00895FD6" w:rsidRPr="00B30EC8">
        <w:rPr>
          <w:rFonts w:ascii="Open Sans" w:hAnsi="Open Sans" w:cs="Open Sans"/>
          <w:b/>
          <w:color w:val="E57200"/>
          <w:spacing w:val="-10"/>
          <w:kern w:val="28"/>
          <w:sz w:val="28"/>
          <w:szCs w:val="28"/>
        </w:rPr>
        <w:t xml:space="preserve">upporting </w:t>
      </w:r>
      <w:r>
        <w:rPr>
          <w:rFonts w:ascii="Open Sans" w:hAnsi="Open Sans" w:cs="Open Sans"/>
          <w:b/>
          <w:color w:val="E57200"/>
          <w:spacing w:val="-10"/>
          <w:kern w:val="28"/>
          <w:sz w:val="28"/>
          <w:szCs w:val="28"/>
        </w:rPr>
        <w:t xml:space="preserve">the </w:t>
      </w:r>
      <w:r w:rsidR="00895FD6" w:rsidRPr="00B30EC8">
        <w:rPr>
          <w:rFonts w:ascii="Open Sans" w:hAnsi="Open Sans" w:cs="Open Sans"/>
          <w:b/>
          <w:color w:val="E57200"/>
          <w:spacing w:val="-10"/>
          <w:kern w:val="28"/>
          <w:sz w:val="28"/>
          <w:szCs w:val="28"/>
        </w:rPr>
        <w:t>health &amp; wellbeing of the mental health workforce</w:t>
      </w:r>
      <w:r w:rsidR="00895FD6" w:rsidRPr="4625CC03">
        <w:rPr>
          <w:rFonts w:ascii="Calibri" w:eastAsia="Calibri" w:hAnsi="Calibri" w:cs="Calibri"/>
        </w:rPr>
        <w:t xml:space="preserve"> </w:t>
      </w:r>
    </w:p>
    <w:p w14:paraId="16E12AA8" w14:textId="7076DABD" w:rsidR="00B30EC8" w:rsidRDefault="00B30EC8" w:rsidP="002875BA">
      <w:pPr>
        <w:spacing w:line="257" w:lineRule="auto"/>
        <w:rPr>
          <w:rFonts w:ascii="Calibri" w:eastAsia="Calibri" w:hAnsi="Calibri" w:cs="Calibri"/>
        </w:rPr>
      </w:pPr>
      <w:r>
        <w:rPr>
          <w:rFonts w:ascii="Calibri" w:eastAsia="Calibri" w:hAnsi="Calibri" w:cs="Calibri"/>
        </w:rPr>
        <w:t xml:space="preserve">A national workforce strategy must </w:t>
      </w:r>
      <w:bookmarkStart w:id="7" w:name="_Hlk80350914"/>
      <w:r>
        <w:rPr>
          <w:rFonts w:ascii="Calibri" w:eastAsia="Calibri" w:hAnsi="Calibri" w:cs="Calibri"/>
        </w:rPr>
        <w:t xml:space="preserve">include a focus on supporting the health and wellbeing of the mental health workforce. This is especially important in the context of an increasing focus on expanding and embedding the role of peer/lived experience workforces. </w:t>
      </w:r>
    </w:p>
    <w:p w14:paraId="20B30E52" w14:textId="6BD82C21" w:rsidR="00895FD6" w:rsidRDefault="00B30EC8" w:rsidP="002875BA">
      <w:pPr>
        <w:spacing w:line="257" w:lineRule="auto"/>
        <w:rPr>
          <w:rFonts w:ascii="Calibri" w:eastAsia="Calibri" w:hAnsi="Calibri" w:cs="Calibri"/>
        </w:rPr>
      </w:pPr>
      <w:r>
        <w:rPr>
          <w:rFonts w:ascii="Calibri" w:eastAsia="Calibri" w:hAnsi="Calibri" w:cs="Calibri"/>
        </w:rPr>
        <w:t xml:space="preserve">A </w:t>
      </w:r>
      <w:r w:rsidR="00895FD6" w:rsidRPr="4625CC03">
        <w:rPr>
          <w:rFonts w:ascii="Calibri" w:eastAsia="Calibri" w:hAnsi="Calibri" w:cs="Calibri"/>
        </w:rPr>
        <w:t xml:space="preserve">gender-sensitive approach to </w:t>
      </w:r>
      <w:r>
        <w:rPr>
          <w:rFonts w:ascii="Calibri" w:eastAsia="Calibri" w:hAnsi="Calibri" w:cs="Calibri"/>
        </w:rPr>
        <w:t xml:space="preserve">supporting the health and wellbeing of the mental health workforce </w:t>
      </w:r>
      <w:bookmarkEnd w:id="7"/>
      <w:r>
        <w:rPr>
          <w:rFonts w:ascii="Calibri" w:eastAsia="Calibri" w:hAnsi="Calibri" w:cs="Calibri"/>
        </w:rPr>
        <w:t>is essential, recognising that</w:t>
      </w:r>
      <w:r w:rsidR="00895FD6" w:rsidRPr="4625CC03">
        <w:rPr>
          <w:rFonts w:ascii="Calibri" w:eastAsia="Calibri" w:hAnsi="Calibri" w:cs="Calibri"/>
        </w:rPr>
        <w:t>:</w:t>
      </w:r>
    </w:p>
    <w:p w14:paraId="3BE0B38D" w14:textId="54A47E55" w:rsidR="00757405" w:rsidRDefault="00757405" w:rsidP="00D2713F">
      <w:pPr>
        <w:pStyle w:val="ListParagraph"/>
        <w:numPr>
          <w:ilvl w:val="0"/>
          <w:numId w:val="10"/>
        </w:numPr>
        <w:contextualSpacing w:val="0"/>
      </w:pPr>
      <w:r>
        <w:t>T</w:t>
      </w:r>
      <w:r w:rsidR="00B30EC8">
        <w:t>he m</w:t>
      </w:r>
      <w:r w:rsidR="00B30EC8" w:rsidRPr="00B30EC8">
        <w:t>ental health workforce is highly feminised</w:t>
      </w:r>
      <w:r w:rsidR="00B30EC8">
        <w:t xml:space="preserve">. </w:t>
      </w:r>
      <w:bookmarkStart w:id="8" w:name="_Hlk80351060"/>
      <w:r w:rsidR="00B30EC8">
        <w:t>For example,</w:t>
      </w:r>
      <w:r w:rsidR="00B30EC8" w:rsidRPr="00B30EC8">
        <w:t xml:space="preserve"> the ORIMA workforce survey found 77% of Vic</w:t>
      </w:r>
      <w:r w:rsidR="00B30EC8">
        <w:t>torian</w:t>
      </w:r>
      <w:r w:rsidR="00B30EC8" w:rsidRPr="00B30EC8">
        <w:t xml:space="preserve"> </w:t>
      </w:r>
      <w:r w:rsidR="00B30EC8">
        <w:t>mental health</w:t>
      </w:r>
      <w:r w:rsidR="00B30EC8" w:rsidRPr="00B30EC8">
        <w:t xml:space="preserve"> workers identify as female.</w:t>
      </w:r>
      <w:r w:rsidR="000575E5">
        <w:rPr>
          <w:rStyle w:val="EndnoteReference"/>
        </w:rPr>
        <w:endnoteReference w:id="23"/>
      </w:r>
      <w:r w:rsidR="00B30EC8" w:rsidRPr="00B30EC8">
        <w:t xml:space="preserve"> </w:t>
      </w:r>
      <w:r>
        <w:t>This means t</w:t>
      </w:r>
      <w:r w:rsidR="00895FD6" w:rsidRPr="00B30EC8">
        <w:t xml:space="preserve">he majority of the mental health workforce </w:t>
      </w:r>
      <w:r>
        <w:t>are likely to be</w:t>
      </w:r>
      <w:r w:rsidR="00895FD6" w:rsidRPr="00B30EC8">
        <w:t xml:space="preserve"> juggling multiple roles</w:t>
      </w:r>
      <w:r>
        <w:t xml:space="preserve"> in addition to their work – for example as mothers and carers – highlighting the need for gender equitable </w:t>
      </w:r>
      <w:r w:rsidR="00895FD6" w:rsidRPr="00B30EC8">
        <w:t xml:space="preserve">workplace conditions </w:t>
      </w:r>
      <w:r>
        <w:t>such as flexible work options;</w:t>
      </w:r>
    </w:p>
    <w:p w14:paraId="7E58A6CB" w14:textId="5FC14525" w:rsidR="00895FD6" w:rsidRPr="00B81913" w:rsidRDefault="00757405" w:rsidP="00D2713F">
      <w:pPr>
        <w:pStyle w:val="ListParagraph"/>
        <w:numPr>
          <w:ilvl w:val="0"/>
          <w:numId w:val="2"/>
        </w:numPr>
        <w:ind w:left="714" w:hanging="357"/>
        <w:contextualSpacing w:val="0"/>
        <w:rPr>
          <w:rFonts w:ascii="Calibri" w:eastAsia="Times New Roman" w:hAnsi="Calibri" w:cs="Calibri"/>
          <w:lang w:eastAsia="en-AU"/>
        </w:rPr>
      </w:pPr>
      <w:r w:rsidRPr="00757405">
        <w:t xml:space="preserve">Many of the life experiences of female service users (e.g. experiences of gendered violence, anxiety and depression) are common and therefore likely to be shared by a significant number of staff. </w:t>
      </w:r>
      <w:r>
        <w:t>The ORIMA</w:t>
      </w:r>
      <w:r w:rsidRPr="00B30EC8">
        <w:t xml:space="preserve"> </w:t>
      </w:r>
      <w:r>
        <w:t xml:space="preserve">workforce survey found </w:t>
      </w:r>
      <w:r w:rsidRPr="00B30EC8">
        <w:t xml:space="preserve">43% </w:t>
      </w:r>
      <w:r>
        <w:t xml:space="preserve">of mental health workers </w:t>
      </w:r>
      <w:r w:rsidRPr="00B30EC8">
        <w:t>had personal lived experience of mental health conditions</w:t>
      </w:r>
      <w:r w:rsidR="00895FD6" w:rsidRPr="00B30EC8">
        <w:t>.</w:t>
      </w:r>
      <w:bookmarkEnd w:id="8"/>
      <w:r w:rsidR="000575E5">
        <w:rPr>
          <w:rStyle w:val="EndnoteReference"/>
        </w:rPr>
        <w:endnoteReference w:id="24"/>
      </w:r>
      <w:r w:rsidR="00895FD6" w:rsidRPr="00B30EC8">
        <w:t xml:space="preserve"> </w:t>
      </w:r>
      <w:r w:rsidR="00895FD6" w:rsidRPr="00757405">
        <w:t>If these issues are unresolved, they can cause stress for the practitioner, have a negative impact on staff ability to develop therapeutic relationships or, at worst, have a detrimental effect on service users’ potential for recovery</w:t>
      </w:r>
      <w:r w:rsidR="00B81913">
        <w:t xml:space="preserve">. </w:t>
      </w:r>
      <w:r w:rsidR="00895FD6" w:rsidRPr="00B81913">
        <w:rPr>
          <w:rFonts w:ascii="Calibri" w:eastAsia="Times New Roman" w:hAnsi="Calibri" w:cs="Calibri"/>
          <w:lang w:eastAsia="en-AU"/>
        </w:rPr>
        <w:t xml:space="preserve">Availability of work-related counselling is </w:t>
      </w:r>
      <w:r w:rsidR="00B81913">
        <w:rPr>
          <w:rFonts w:ascii="Calibri" w:eastAsia="Times New Roman" w:hAnsi="Calibri" w:cs="Calibri"/>
          <w:lang w:eastAsia="en-AU"/>
        </w:rPr>
        <w:t xml:space="preserve">therefore </w:t>
      </w:r>
      <w:r w:rsidR="00895FD6" w:rsidRPr="00B81913">
        <w:rPr>
          <w:rFonts w:ascii="Calibri" w:eastAsia="Times New Roman" w:hAnsi="Calibri" w:cs="Calibri"/>
          <w:lang w:eastAsia="en-AU"/>
        </w:rPr>
        <w:t>an essential element of staff support e.g. out-of-hours crisis support, confidential counselling services.</w:t>
      </w:r>
      <w:r w:rsidR="00895FD6" w:rsidRPr="00C4075A">
        <w:rPr>
          <w:rFonts w:eastAsia="Times New Roman"/>
          <w:vertAlign w:val="superscript"/>
          <w:lang w:eastAsia="en-AU"/>
        </w:rPr>
        <w:endnoteReference w:id="25"/>
      </w:r>
    </w:p>
    <w:p w14:paraId="2A03B05C" w14:textId="0C44C7D6" w:rsidR="002875BA" w:rsidRPr="00B81913" w:rsidRDefault="00B81913" w:rsidP="002875BA">
      <w:pPr>
        <w:spacing w:line="257" w:lineRule="auto"/>
        <w:rPr>
          <w:rFonts w:ascii="Open Sans" w:hAnsi="Open Sans" w:cs="Open Sans"/>
          <w:b/>
          <w:color w:val="E57200"/>
          <w:spacing w:val="-10"/>
          <w:kern w:val="28"/>
          <w:sz w:val="28"/>
          <w:szCs w:val="28"/>
        </w:rPr>
      </w:pPr>
      <w:r>
        <w:rPr>
          <w:rFonts w:ascii="Open Sans" w:hAnsi="Open Sans" w:cs="Open Sans"/>
          <w:b/>
          <w:color w:val="E57200"/>
          <w:spacing w:val="-10"/>
          <w:kern w:val="28"/>
          <w:sz w:val="28"/>
          <w:szCs w:val="28"/>
        </w:rPr>
        <w:t>Gender composition of the mental health workforce</w:t>
      </w:r>
    </w:p>
    <w:p w14:paraId="7E9627C9" w14:textId="2F8EDFE5" w:rsidR="00B81913" w:rsidRDefault="00B81913" w:rsidP="00B81913">
      <w:pPr>
        <w:spacing w:line="257" w:lineRule="auto"/>
        <w:rPr>
          <w:rFonts w:ascii="Calibri" w:eastAsia="Calibri" w:hAnsi="Calibri" w:cs="Calibri"/>
        </w:rPr>
      </w:pPr>
      <w:r>
        <w:rPr>
          <w:rFonts w:ascii="Calibri" w:eastAsia="Calibri" w:hAnsi="Calibri" w:cs="Calibri"/>
        </w:rPr>
        <w:t>It is also essential that a national workforce strategy consider the gender composition of the mental health workforce and identify mechanisms or approaches for:</w:t>
      </w:r>
    </w:p>
    <w:p w14:paraId="02B2E3A6" w14:textId="458D1451" w:rsidR="00B81913" w:rsidRDefault="00B81913" w:rsidP="00D2713F">
      <w:pPr>
        <w:pStyle w:val="ListParagraph"/>
        <w:numPr>
          <w:ilvl w:val="0"/>
          <w:numId w:val="10"/>
        </w:numPr>
        <w:contextualSpacing w:val="0"/>
      </w:pPr>
      <w:r>
        <w:t xml:space="preserve">Increasing the representation of women in senior roles, including women with lived experience – for example, the interim report of the Royal Commission into Victoria’s Mental Health System </w:t>
      </w:r>
      <w:r w:rsidR="00A86B2F">
        <w:t xml:space="preserve">found that there is </w:t>
      </w:r>
      <w:r w:rsidR="00A86B2F" w:rsidRPr="00B81913">
        <w:rPr>
          <w:rFonts w:ascii="Calibri" w:eastAsia="Calibri" w:hAnsi="Calibri" w:cs="Calibri"/>
        </w:rPr>
        <w:t>a disproportionately low number of women in leadership positions</w:t>
      </w:r>
      <w:r w:rsidR="00A86B2F" w:rsidRPr="00A86B2F">
        <w:rPr>
          <w:rFonts w:ascii="Calibri" w:eastAsia="Calibri" w:hAnsi="Calibri" w:cs="Calibri"/>
        </w:rPr>
        <w:t xml:space="preserve"> </w:t>
      </w:r>
      <w:r w:rsidR="00A86B2F" w:rsidRPr="00B81913">
        <w:rPr>
          <w:rFonts w:ascii="Calibri" w:eastAsia="Calibri" w:hAnsi="Calibri" w:cs="Calibri"/>
        </w:rPr>
        <w:t>in psychiatry</w:t>
      </w:r>
      <w:r w:rsidR="00A86B2F">
        <w:rPr>
          <w:rFonts w:ascii="Calibri" w:eastAsia="Calibri" w:hAnsi="Calibri" w:cs="Calibri"/>
        </w:rPr>
        <w:t>;</w:t>
      </w:r>
      <w:r w:rsidR="00A86B2F">
        <w:rPr>
          <w:rStyle w:val="EndnoteReference"/>
          <w:rFonts w:ascii="Calibri" w:eastAsia="Calibri" w:hAnsi="Calibri" w:cs="Calibri"/>
        </w:rPr>
        <w:endnoteReference w:id="26"/>
      </w:r>
    </w:p>
    <w:p w14:paraId="6A918193" w14:textId="552B66B8" w:rsidR="002875BA" w:rsidRPr="00A86B2F" w:rsidRDefault="00B81913" w:rsidP="00D2713F">
      <w:pPr>
        <w:pStyle w:val="ListParagraph"/>
        <w:numPr>
          <w:ilvl w:val="0"/>
          <w:numId w:val="10"/>
        </w:numPr>
        <w:spacing w:line="257" w:lineRule="auto"/>
        <w:contextualSpacing w:val="0"/>
        <w:rPr>
          <w:rFonts w:ascii="Calibri" w:eastAsia="Calibri" w:hAnsi="Calibri" w:cs="Calibri"/>
        </w:rPr>
      </w:pPr>
      <w:r w:rsidRPr="00B81913">
        <w:t>Addressing power imbalances</w:t>
      </w:r>
      <w:r w:rsidR="00D852D5">
        <w:t xml:space="preserve"> between the clinical, non-clinical and peer workforces, recognising the overlay of gendered power dynamics, where the peer and non-clinical </w:t>
      </w:r>
      <w:r w:rsidR="00D852D5">
        <w:lastRenderedPageBreak/>
        <w:t xml:space="preserve">workforces are female-dominated and </w:t>
      </w:r>
      <w:r w:rsidR="002875BA" w:rsidRPr="00A86B2F">
        <w:rPr>
          <w:rFonts w:ascii="Calibri" w:eastAsia="Calibri" w:hAnsi="Calibri" w:cs="Calibri"/>
        </w:rPr>
        <w:t xml:space="preserve">senior clinical </w:t>
      </w:r>
      <w:r w:rsidR="00D852D5">
        <w:rPr>
          <w:rFonts w:ascii="Calibri" w:eastAsia="Calibri" w:hAnsi="Calibri" w:cs="Calibri"/>
        </w:rPr>
        <w:t xml:space="preserve">and governance </w:t>
      </w:r>
      <w:r w:rsidR="002875BA" w:rsidRPr="00A86B2F">
        <w:rPr>
          <w:rFonts w:ascii="Calibri" w:eastAsia="Calibri" w:hAnsi="Calibri" w:cs="Calibri"/>
        </w:rPr>
        <w:t xml:space="preserve">roles </w:t>
      </w:r>
      <w:r w:rsidR="00D852D5">
        <w:rPr>
          <w:rFonts w:ascii="Calibri" w:eastAsia="Calibri" w:hAnsi="Calibri" w:cs="Calibri"/>
        </w:rPr>
        <w:t xml:space="preserve">are </w:t>
      </w:r>
      <w:r w:rsidR="002875BA" w:rsidRPr="00A86B2F">
        <w:rPr>
          <w:rFonts w:ascii="Calibri" w:eastAsia="Calibri" w:hAnsi="Calibri" w:cs="Calibri"/>
        </w:rPr>
        <w:t>dominated by men</w:t>
      </w:r>
      <w:r w:rsidR="00D852D5">
        <w:rPr>
          <w:rFonts w:ascii="Calibri" w:eastAsia="Calibri" w:hAnsi="Calibri" w:cs="Calibri"/>
        </w:rPr>
        <w:t>.</w:t>
      </w:r>
    </w:p>
    <w:p w14:paraId="00ED0549" w14:textId="305EFE59" w:rsidR="002875BA" w:rsidRDefault="002875BA" w:rsidP="00B81913">
      <w:pPr>
        <w:spacing w:line="257" w:lineRule="auto"/>
        <w:rPr>
          <w:rFonts w:ascii="Calibri" w:eastAsia="Calibri" w:hAnsi="Calibri" w:cs="Calibri"/>
        </w:rPr>
      </w:pPr>
      <w:r w:rsidRPr="00B81913">
        <w:rPr>
          <w:rFonts w:ascii="Calibri" w:eastAsia="Calibri" w:hAnsi="Calibri" w:cs="Calibri"/>
        </w:rPr>
        <w:t>Regular workforce data collection is</w:t>
      </w:r>
      <w:r w:rsidR="00D852D5">
        <w:rPr>
          <w:rFonts w:ascii="Calibri" w:eastAsia="Calibri" w:hAnsi="Calibri" w:cs="Calibri"/>
        </w:rPr>
        <w:t xml:space="preserve"> also</w:t>
      </w:r>
      <w:r w:rsidRPr="00B81913">
        <w:rPr>
          <w:rFonts w:ascii="Calibri" w:eastAsia="Calibri" w:hAnsi="Calibri" w:cs="Calibri"/>
        </w:rPr>
        <w:t xml:space="preserve"> essential</w:t>
      </w:r>
      <w:r w:rsidR="00D852D5">
        <w:rPr>
          <w:rFonts w:ascii="Calibri" w:eastAsia="Calibri" w:hAnsi="Calibri" w:cs="Calibri"/>
        </w:rPr>
        <w:t xml:space="preserve">, and should include collection of data on workers’ </w:t>
      </w:r>
      <w:r w:rsidRPr="00B81913">
        <w:rPr>
          <w:rFonts w:ascii="Calibri" w:eastAsia="Calibri" w:hAnsi="Calibri" w:cs="Calibri"/>
        </w:rPr>
        <w:t>gender</w:t>
      </w:r>
      <w:r w:rsidR="00D852D5">
        <w:rPr>
          <w:rFonts w:ascii="Calibri" w:eastAsia="Calibri" w:hAnsi="Calibri" w:cs="Calibri"/>
        </w:rPr>
        <w:t xml:space="preserve"> and </w:t>
      </w:r>
      <w:r w:rsidRPr="00B81913">
        <w:rPr>
          <w:rFonts w:ascii="Calibri" w:eastAsia="Calibri" w:hAnsi="Calibri" w:cs="Calibri"/>
        </w:rPr>
        <w:t>culture</w:t>
      </w:r>
      <w:r w:rsidR="00D852D5">
        <w:rPr>
          <w:rFonts w:ascii="Calibri" w:eastAsia="Calibri" w:hAnsi="Calibri" w:cs="Calibri"/>
        </w:rPr>
        <w:t>/</w:t>
      </w:r>
      <w:r w:rsidRPr="00B81913">
        <w:rPr>
          <w:rFonts w:ascii="Calibri" w:eastAsia="Calibri" w:hAnsi="Calibri" w:cs="Calibri"/>
        </w:rPr>
        <w:t>ethnicity</w:t>
      </w:r>
      <w:r w:rsidR="00D852D5">
        <w:rPr>
          <w:rFonts w:ascii="Calibri" w:eastAsia="Calibri" w:hAnsi="Calibri" w:cs="Calibri"/>
        </w:rPr>
        <w:t>, including at a regional level, to support workforce planning</w:t>
      </w:r>
      <w:r w:rsidRPr="00B81913">
        <w:rPr>
          <w:rFonts w:ascii="Calibri" w:eastAsia="Calibri" w:hAnsi="Calibri" w:cs="Calibri"/>
        </w:rPr>
        <w:t xml:space="preserve"> (</w:t>
      </w:r>
      <w:r w:rsidR="00D852D5">
        <w:rPr>
          <w:rFonts w:ascii="Calibri" w:eastAsia="Calibri" w:hAnsi="Calibri" w:cs="Calibri"/>
        </w:rPr>
        <w:t xml:space="preserve">for example, </w:t>
      </w:r>
      <w:r w:rsidRPr="00B81913">
        <w:rPr>
          <w:rFonts w:ascii="Calibri" w:eastAsia="Calibri" w:hAnsi="Calibri" w:cs="Calibri"/>
        </w:rPr>
        <w:t>to ensure that all Victorian populations have adequate numbers of bicultural and bilingual community mental health and support workers)</w:t>
      </w:r>
      <w:r w:rsidR="00D852D5">
        <w:rPr>
          <w:rFonts w:ascii="Calibri" w:eastAsia="Calibri" w:hAnsi="Calibri" w:cs="Calibri"/>
        </w:rPr>
        <w:t>.</w:t>
      </w:r>
    </w:p>
    <w:p w14:paraId="35C4A97C" w14:textId="77777777" w:rsidR="00CA2EDA" w:rsidRDefault="00CA2EDA">
      <w:pPr>
        <w:rPr>
          <w:rFonts w:ascii="Open Sans" w:hAnsi="Open Sans" w:cs="Open Sans"/>
          <w:b/>
          <w:color w:val="391160"/>
          <w:sz w:val="44"/>
          <w:szCs w:val="44"/>
        </w:rPr>
      </w:pPr>
      <w:r>
        <w:br w:type="page"/>
      </w:r>
    </w:p>
    <w:p w14:paraId="75875F81" w14:textId="78F3A317" w:rsidR="00D852D5" w:rsidRPr="00D852D5" w:rsidRDefault="00D852D5" w:rsidP="00CA2EDA">
      <w:pPr>
        <w:pStyle w:val="WMHAheading"/>
      </w:pPr>
      <w:r w:rsidRPr="00D852D5">
        <w:lastRenderedPageBreak/>
        <w:t>Reducing stigma and discrimination</w:t>
      </w:r>
    </w:p>
    <w:p w14:paraId="0B718367" w14:textId="0DA7F656" w:rsidR="00D852D5" w:rsidRDefault="00017088" w:rsidP="00997256">
      <w:bookmarkStart w:id="9" w:name="_Hlk80353031"/>
      <w:r>
        <w:t xml:space="preserve">Stigma associated with mental illness is gendered. </w:t>
      </w:r>
      <w:r w:rsidR="00D852D5">
        <w:t xml:space="preserve">Any strategy or </w:t>
      </w:r>
      <w:r w:rsidR="00537ACE">
        <w:t>initiatives</w:t>
      </w:r>
      <w:r w:rsidR="00D852D5">
        <w:t xml:space="preserve"> to reduc</w:t>
      </w:r>
      <w:r w:rsidR="00537ACE">
        <w:t>e</w:t>
      </w:r>
      <w:r w:rsidR="00D852D5">
        <w:t xml:space="preserve"> stigma and discrimination must consider:</w:t>
      </w:r>
    </w:p>
    <w:p w14:paraId="59E6B032" w14:textId="1999BAAE" w:rsidR="00D852D5" w:rsidRPr="00102923" w:rsidRDefault="00D852D5" w:rsidP="00997256">
      <w:pPr>
        <w:pStyle w:val="ListParagraph"/>
        <w:numPr>
          <w:ilvl w:val="0"/>
          <w:numId w:val="10"/>
        </w:numPr>
        <w:contextualSpacing w:val="0"/>
      </w:pPr>
      <w:r w:rsidRPr="00102923">
        <w:t xml:space="preserve">Stigma and discrimination both as a </w:t>
      </w:r>
      <w:r w:rsidR="009C44D8" w:rsidRPr="00102923">
        <w:t xml:space="preserve">cause or driver of poor mental health </w:t>
      </w:r>
      <w:r w:rsidR="006E6D50" w:rsidRPr="00102923">
        <w:t xml:space="preserve">among women </w:t>
      </w:r>
      <w:r w:rsidR="009C44D8" w:rsidRPr="00102923">
        <w:t>and as a barrier to service access and recovery</w:t>
      </w:r>
    </w:p>
    <w:p w14:paraId="26126F23" w14:textId="5CF61B06" w:rsidR="009C44D8" w:rsidRPr="00102923" w:rsidRDefault="009C44D8" w:rsidP="00997256">
      <w:pPr>
        <w:pStyle w:val="ListParagraph"/>
        <w:numPr>
          <w:ilvl w:val="0"/>
          <w:numId w:val="10"/>
        </w:numPr>
        <w:contextualSpacing w:val="0"/>
      </w:pPr>
      <w:r w:rsidRPr="00102923">
        <w:t xml:space="preserve">Stigma and discrimination against </w:t>
      </w:r>
      <w:r w:rsidR="006E6D50" w:rsidRPr="00102923">
        <w:t>women</w:t>
      </w:r>
      <w:r w:rsidRPr="00102923">
        <w:t xml:space="preserve"> with a mental illness </w:t>
      </w:r>
      <w:r w:rsidR="006E6D50" w:rsidRPr="00102923">
        <w:t xml:space="preserve">that is </w:t>
      </w:r>
      <w:r w:rsidRPr="00102923">
        <w:t xml:space="preserve">experienced </w:t>
      </w:r>
      <w:r w:rsidR="006E6D50" w:rsidRPr="00102923">
        <w:t xml:space="preserve">both </w:t>
      </w:r>
      <w:r w:rsidRPr="00102923">
        <w:t>within the community (interpersonal stigma), and in interactions with the mental health system and other service systems (systemic stigma)</w:t>
      </w:r>
    </w:p>
    <w:p w14:paraId="1757516D" w14:textId="48D3823E" w:rsidR="009C44D8" w:rsidRPr="00102923" w:rsidRDefault="009C44D8" w:rsidP="00997256">
      <w:pPr>
        <w:pStyle w:val="ListParagraph"/>
        <w:numPr>
          <w:ilvl w:val="0"/>
          <w:numId w:val="10"/>
        </w:numPr>
        <w:contextualSpacing w:val="0"/>
      </w:pPr>
      <w:r w:rsidRPr="00102923">
        <w:t xml:space="preserve">Stigma related to </w:t>
      </w:r>
      <w:r w:rsidR="006E6D50" w:rsidRPr="00102923">
        <w:t xml:space="preserve">negative attitudes towards women and girls who have </w:t>
      </w:r>
      <w:r w:rsidRPr="00102923">
        <w:t>experience</w:t>
      </w:r>
      <w:r w:rsidR="006E6D50" w:rsidRPr="00102923">
        <w:t>d</w:t>
      </w:r>
      <w:r w:rsidRPr="00102923">
        <w:t xml:space="preserve"> gendered violence (which </w:t>
      </w:r>
      <w:r w:rsidR="006E6D50" w:rsidRPr="00102923">
        <w:t>is a significant cause of poor mental health among women and girls</w:t>
      </w:r>
      <w:r w:rsidRPr="00102923">
        <w:t>), including victim-blaming</w:t>
      </w:r>
      <w:r w:rsidR="00102923" w:rsidRPr="00102923">
        <w:t xml:space="preserve"> and </w:t>
      </w:r>
      <w:r w:rsidRPr="00102923">
        <w:t>dismissive and attitudes</w:t>
      </w:r>
    </w:p>
    <w:p w14:paraId="03346AF2" w14:textId="2D821869" w:rsidR="009C44D8" w:rsidRPr="00102923" w:rsidRDefault="009C44D8" w:rsidP="00997256">
      <w:pPr>
        <w:pStyle w:val="ListParagraph"/>
        <w:numPr>
          <w:ilvl w:val="0"/>
          <w:numId w:val="10"/>
        </w:numPr>
        <w:contextualSpacing w:val="0"/>
      </w:pPr>
      <w:r w:rsidRPr="00102923">
        <w:t>Intersectional experiences of stigma and discrimination, where gendered attitudes intersect with other forms of discrimination such as racism and homophobia</w:t>
      </w:r>
    </w:p>
    <w:p w14:paraId="11E6B0A1" w14:textId="240103B5" w:rsidR="009C44D8" w:rsidRDefault="009C44D8" w:rsidP="00997256">
      <w:pPr>
        <w:pStyle w:val="ListParagraph"/>
        <w:numPr>
          <w:ilvl w:val="0"/>
          <w:numId w:val="10"/>
        </w:numPr>
        <w:contextualSpacing w:val="0"/>
      </w:pPr>
      <w:r w:rsidRPr="00102923">
        <w:t>Stigma experienced by families and carers of those with mental health conditions, especially mothers</w:t>
      </w:r>
      <w:r w:rsidR="00102923">
        <w:t>.</w:t>
      </w:r>
    </w:p>
    <w:bookmarkEnd w:id="9"/>
    <w:p w14:paraId="47278680" w14:textId="6A579AF0" w:rsidR="00537ACE" w:rsidRDefault="00537ACE" w:rsidP="00997256">
      <w:r>
        <w:t>Initiatives to address stigma must also go beyond addressing ‘attitudes’ to address discriminatory practices and structural inequalities. As Dr Emma Tseris argues, ‘</w:t>
      </w:r>
      <w:r w:rsidRPr="00891319">
        <w:rPr>
          <w:rFonts w:cstheme="minorHAnsi"/>
        </w:rPr>
        <w:t xml:space="preserve">it is important that the potential benefits of attempting to reframe public attitudes about mental illness, as well as service user’s self-perceptions, are not overstated. An attempt to shift societal </w:t>
      </w:r>
      <w:r w:rsidRPr="00891319">
        <w:rPr>
          <w:rFonts w:cstheme="minorHAnsi"/>
          <w:i/>
          <w:iCs/>
        </w:rPr>
        <w:t xml:space="preserve">attitudes </w:t>
      </w:r>
      <w:r w:rsidRPr="00891319">
        <w:rPr>
          <w:rFonts w:cstheme="minorHAnsi"/>
        </w:rPr>
        <w:t>about mental illness, in and of itself, is unlikely to achieve a goal of transforming mental health service users’ position in society in terms of their vastly unequal opportunities and access to material resources, including housing and employment, nor can it alleviate the unfavourable treatment that they often receive, within both community and professional treatment contexts.</w:t>
      </w:r>
      <w:r>
        <w:rPr>
          <w:rFonts w:cstheme="minorHAnsi"/>
        </w:rPr>
        <w:t>’</w:t>
      </w:r>
      <w:r>
        <w:rPr>
          <w:rStyle w:val="EndnoteReference"/>
          <w:rFonts w:cstheme="minorHAnsi"/>
        </w:rPr>
        <w:endnoteReference w:id="27"/>
      </w:r>
    </w:p>
    <w:p w14:paraId="1E85D866" w14:textId="4005EA1F" w:rsidR="00A6595D" w:rsidRDefault="003570AD" w:rsidP="00537ACE">
      <w:r>
        <w:t>It is also important to e</w:t>
      </w:r>
      <w:r w:rsidRPr="003570AD">
        <w:t>nsure any anti-stigma messaging or campaigns do not inadvertently reinforce inaccurate and unhelpful ideas about mental ill-health and/or access to mental health services, for example, messages which individualise dysfunction and conceal social drivers of mental ill-health, and messages that direct people to services that may not be safe, appropriate or accessible. Dr</w:t>
      </w:r>
      <w:r>
        <w:t xml:space="preserve"> Emma Tseris provides a useful critique of prominent anti-stigma messages that we commend to the Inquiry: </w:t>
      </w:r>
      <w:r w:rsidRPr="00373D01">
        <w:rPr>
          <w:i/>
          <w:iCs/>
        </w:rPr>
        <w:t>Accepting My Illness? Problematising the Claims of Mental Health Anti-Stigma Efforts</w:t>
      </w:r>
      <w:r w:rsidRPr="00373D01">
        <w:t xml:space="preserve"> (2019)</w:t>
      </w:r>
      <w:r>
        <w:t>.</w:t>
      </w:r>
      <w:r>
        <w:rPr>
          <w:rStyle w:val="EndnoteReference"/>
        </w:rPr>
        <w:endnoteReference w:id="28"/>
      </w:r>
    </w:p>
    <w:p w14:paraId="4CDC970B" w14:textId="276F6412" w:rsidR="00102923" w:rsidRPr="00102923" w:rsidRDefault="00102923" w:rsidP="00997256">
      <w:pPr>
        <w:rPr>
          <w:rFonts w:ascii="Open Sans" w:hAnsi="Open Sans" w:cs="Open Sans"/>
          <w:b/>
          <w:color w:val="E57200"/>
          <w:spacing w:val="-10"/>
          <w:kern w:val="28"/>
          <w:sz w:val="28"/>
          <w:szCs w:val="28"/>
        </w:rPr>
      </w:pPr>
      <w:r w:rsidRPr="00102923">
        <w:rPr>
          <w:rFonts w:ascii="Open Sans" w:hAnsi="Open Sans" w:cs="Open Sans"/>
          <w:b/>
          <w:color w:val="E57200"/>
          <w:spacing w:val="-10"/>
          <w:kern w:val="28"/>
          <w:sz w:val="28"/>
          <w:szCs w:val="28"/>
        </w:rPr>
        <w:t xml:space="preserve">Stigma and discrimination as a driver of poor mental health </w:t>
      </w:r>
    </w:p>
    <w:p w14:paraId="0CE9E564" w14:textId="77777777" w:rsidR="00102923" w:rsidRDefault="006E6D50" w:rsidP="00997256">
      <w:r>
        <w:t>The role of gender discrimination (e.g. income inequality, sexual harassment), gendered attitudes (e.g. rigid gender stereotypes, sexualisation of women and girls) and gendered roles (for example, women undertaking a disproportionate share of unpaid care work) as drivers (or social determinants) of poor mental health among women and girls is well-established.</w:t>
      </w:r>
      <w:r>
        <w:rPr>
          <w:rStyle w:val="EndnoteReference"/>
        </w:rPr>
        <w:endnoteReference w:id="29"/>
      </w:r>
      <w:r>
        <w:t xml:space="preserve"> </w:t>
      </w:r>
    </w:p>
    <w:p w14:paraId="5E4271EF" w14:textId="498BB5A5" w:rsidR="00D852D5" w:rsidRDefault="00102923" w:rsidP="00997256">
      <w:r>
        <w:t xml:space="preserve">This highlights the critical importance of ensuring that any strategy or approach to reducing stigma and discrimination incorporates a focus on addressing harmful gendered norms, practices and structures that give rise to poor mental health outcomes for women and girls. </w:t>
      </w:r>
    </w:p>
    <w:p w14:paraId="3B23E4F1" w14:textId="3458AC4D" w:rsidR="00102923" w:rsidRPr="00102923" w:rsidRDefault="00102923" w:rsidP="00997256">
      <w:pPr>
        <w:rPr>
          <w:rFonts w:ascii="Open Sans" w:hAnsi="Open Sans" w:cs="Open Sans"/>
          <w:b/>
          <w:color w:val="E57200"/>
          <w:spacing w:val="-10"/>
          <w:kern w:val="28"/>
          <w:sz w:val="28"/>
          <w:szCs w:val="28"/>
        </w:rPr>
      </w:pPr>
      <w:r w:rsidRPr="00102923">
        <w:rPr>
          <w:rFonts w:ascii="Open Sans" w:hAnsi="Open Sans" w:cs="Open Sans"/>
          <w:b/>
          <w:color w:val="E57200"/>
          <w:spacing w:val="-10"/>
          <w:kern w:val="28"/>
          <w:sz w:val="28"/>
          <w:szCs w:val="28"/>
        </w:rPr>
        <w:lastRenderedPageBreak/>
        <w:t xml:space="preserve">Stigma and discrimination against women within the mental health </w:t>
      </w:r>
      <w:r w:rsidR="00017088">
        <w:rPr>
          <w:rFonts w:ascii="Open Sans" w:hAnsi="Open Sans" w:cs="Open Sans"/>
          <w:b/>
          <w:color w:val="E57200"/>
          <w:spacing w:val="-10"/>
          <w:kern w:val="28"/>
          <w:sz w:val="28"/>
          <w:szCs w:val="28"/>
        </w:rPr>
        <w:t>and other service systems</w:t>
      </w:r>
    </w:p>
    <w:p w14:paraId="713D5F88" w14:textId="257D35EB" w:rsidR="00102923" w:rsidRDefault="00102923" w:rsidP="00997256">
      <w:r>
        <w:t>There is clear evidence that women who are experiencing mental ill-health or psychological distress, are diagnosed with a mental health condition, or have experienced gendered violence are subjected to stigma and discrimination in their interactions with mental health practitioners and services.</w:t>
      </w:r>
    </w:p>
    <w:p w14:paraId="55A57CDE" w14:textId="1599A8B3" w:rsidR="00D852D5" w:rsidRDefault="00F8512F" w:rsidP="00997256">
      <w:pPr>
        <w:autoSpaceDE w:val="0"/>
        <w:autoSpaceDN w:val="0"/>
        <w:adjustRightInd w:val="0"/>
        <w:rPr>
          <w:rFonts w:cstheme="minorHAnsi"/>
        </w:rPr>
      </w:pPr>
      <w:r>
        <w:rPr>
          <w:rFonts w:cstheme="minorHAnsi"/>
        </w:rPr>
        <w:t>As Dr Emma Tseris argues, ‘t</w:t>
      </w:r>
      <w:r w:rsidR="00D852D5" w:rsidRPr="00102923">
        <w:rPr>
          <w:rFonts w:cstheme="minorHAnsi"/>
        </w:rPr>
        <w:t>he assumption that professional workers are immune from stigmatising beliefs about mental illness has created a significant reflexive blind spot to the sometimes violent practices that occur within contemporary mental health services, as well as the symbolic violence contained within mental health labelling practices themselves.</w:t>
      </w:r>
      <w:r>
        <w:rPr>
          <w:rFonts w:cstheme="minorHAnsi"/>
        </w:rPr>
        <w:t>’</w:t>
      </w:r>
      <w:r>
        <w:rPr>
          <w:rStyle w:val="EndnoteReference"/>
          <w:rFonts w:cstheme="minorHAnsi"/>
        </w:rPr>
        <w:endnoteReference w:id="30"/>
      </w:r>
    </w:p>
    <w:p w14:paraId="5E0F52A6" w14:textId="6A3CF6D8" w:rsidR="00997256" w:rsidRPr="00102923" w:rsidRDefault="00F74E29" w:rsidP="00997256">
      <w:pPr>
        <w:autoSpaceDE w:val="0"/>
        <w:autoSpaceDN w:val="0"/>
        <w:adjustRightInd w:val="0"/>
        <w:rPr>
          <w:rFonts w:cstheme="minorHAnsi"/>
        </w:rPr>
      </w:pPr>
      <w:r>
        <w:rPr>
          <w:rFonts w:cstheme="minorHAnsi"/>
        </w:rPr>
        <w:t xml:space="preserve">For example, there is evidence that </w:t>
      </w:r>
      <w:r w:rsidR="0037731B">
        <w:rPr>
          <w:rFonts w:cstheme="minorHAnsi"/>
        </w:rPr>
        <w:t>w</w:t>
      </w:r>
      <w:r w:rsidR="0037731B" w:rsidRPr="0037731B">
        <w:rPr>
          <w:rFonts w:cstheme="minorHAnsi"/>
        </w:rPr>
        <w:t xml:space="preserve">omen who </w:t>
      </w:r>
      <w:r w:rsidR="0037731B">
        <w:rPr>
          <w:rFonts w:cstheme="minorHAnsi"/>
        </w:rPr>
        <w:t xml:space="preserve">self-harm or </w:t>
      </w:r>
      <w:r w:rsidR="0037731B" w:rsidRPr="0037731B">
        <w:rPr>
          <w:rFonts w:cstheme="minorHAnsi"/>
        </w:rPr>
        <w:t xml:space="preserve">attempt suicide </w:t>
      </w:r>
      <w:r w:rsidR="0037731B">
        <w:rPr>
          <w:rFonts w:cstheme="minorHAnsi"/>
        </w:rPr>
        <w:t>can be perceived or</w:t>
      </w:r>
      <w:r w:rsidR="0037731B" w:rsidRPr="0037731B">
        <w:rPr>
          <w:rFonts w:cstheme="minorHAnsi"/>
        </w:rPr>
        <w:t xml:space="preserve"> described </w:t>
      </w:r>
      <w:r w:rsidR="0037731B">
        <w:rPr>
          <w:rFonts w:cstheme="minorHAnsi"/>
        </w:rPr>
        <w:t xml:space="preserve">by health practitioners </w:t>
      </w:r>
      <w:r w:rsidR="0037731B" w:rsidRPr="0037731B">
        <w:rPr>
          <w:rFonts w:cstheme="minorHAnsi"/>
        </w:rPr>
        <w:t>as ‘attention-seeking’ and manipulative.</w:t>
      </w:r>
      <w:r w:rsidR="0037731B">
        <w:rPr>
          <w:rStyle w:val="EndnoteReference"/>
          <w:rFonts w:cstheme="minorHAnsi"/>
        </w:rPr>
        <w:endnoteReference w:id="31"/>
      </w:r>
      <w:r w:rsidR="0037731B" w:rsidRPr="0037731B">
        <w:rPr>
          <w:rFonts w:ascii="Calibri" w:eastAsia="Calibri" w:hAnsi="Calibri"/>
          <w:color w:val="000000" w:themeColor="text1"/>
          <w:kern w:val="24"/>
          <w:sz w:val="36"/>
          <w:szCs w:val="36"/>
        </w:rPr>
        <w:t xml:space="preserve"> </w:t>
      </w:r>
      <w:r w:rsidR="0024157F" w:rsidRPr="0024157F">
        <w:rPr>
          <w:rFonts w:cstheme="minorHAnsi"/>
        </w:rPr>
        <w:t>R</w:t>
      </w:r>
      <w:r w:rsidR="0037731B" w:rsidRPr="0037731B">
        <w:rPr>
          <w:rFonts w:cstheme="minorHAnsi"/>
        </w:rPr>
        <w:t>esearch has shown that, after hospitalisation for self-harm, women report feeling dissatisfied with emergency and psychiatric services due to negative attitudes directed towards them</w:t>
      </w:r>
      <w:r w:rsidR="0037731B">
        <w:rPr>
          <w:rFonts w:cstheme="minorHAnsi"/>
        </w:rPr>
        <w:t>.</w:t>
      </w:r>
      <w:r w:rsidR="0037731B">
        <w:rPr>
          <w:rStyle w:val="EndnoteReference"/>
          <w:rFonts w:cstheme="minorHAnsi"/>
        </w:rPr>
        <w:endnoteReference w:id="32"/>
      </w:r>
      <w:r w:rsidR="0037731B">
        <w:rPr>
          <w:rFonts w:cstheme="minorHAnsi"/>
        </w:rPr>
        <w:t xml:space="preserve"> </w:t>
      </w:r>
      <w:r w:rsidR="00997256" w:rsidRPr="00B14051">
        <w:t>In inpatient units in Victoria, recent research shows some staff perceive female consumers as more difficult to care for, and express negative attitudes towards the women in their care</w:t>
      </w:r>
      <w:r w:rsidR="00997256">
        <w:t>.</w:t>
      </w:r>
      <w:r w:rsidR="00997256" w:rsidRPr="00B14051">
        <w:rPr>
          <w:vertAlign w:val="superscript"/>
        </w:rPr>
        <w:endnoteReference w:id="33"/>
      </w:r>
      <w:r w:rsidR="00997256" w:rsidRPr="00997256">
        <w:rPr>
          <w:rFonts w:cstheme="minorHAnsi"/>
        </w:rPr>
        <w:t xml:space="preserve"> </w:t>
      </w:r>
      <w:r w:rsidR="00997256">
        <w:rPr>
          <w:rFonts w:cstheme="minorHAnsi"/>
        </w:rPr>
        <w:t xml:space="preserve">There is also evidence to suggest that negative perceptions of female consumers result in some mental health workers dismissing or denying </w:t>
      </w:r>
      <w:r w:rsidR="0024157F">
        <w:rPr>
          <w:rFonts w:cstheme="minorHAnsi"/>
        </w:rPr>
        <w:t xml:space="preserve">disclosures of </w:t>
      </w:r>
      <w:r w:rsidR="00997256">
        <w:rPr>
          <w:rFonts w:cstheme="minorHAnsi"/>
        </w:rPr>
        <w:t>sexual assault.</w:t>
      </w:r>
      <w:r w:rsidR="00997256" w:rsidRPr="00B14051">
        <w:rPr>
          <w:vertAlign w:val="superscript"/>
        </w:rPr>
        <w:endnoteReference w:id="34"/>
      </w:r>
    </w:p>
    <w:p w14:paraId="73D69446" w14:textId="359B87FB" w:rsidR="00997256" w:rsidRPr="00A10500" w:rsidRDefault="00997256" w:rsidP="00997256">
      <w:r>
        <w:t>S</w:t>
      </w:r>
      <w:r w:rsidRPr="00A10500">
        <w:t xml:space="preserve">hame, fear of stigma and fear of not being believed can </w:t>
      </w:r>
      <w:r>
        <w:t xml:space="preserve">also </w:t>
      </w:r>
      <w:r w:rsidRPr="00A10500">
        <w:t>be a barrier to help-seeking</w:t>
      </w:r>
      <w:r w:rsidRPr="00997256">
        <w:t xml:space="preserve"> </w:t>
      </w:r>
      <w:r w:rsidRPr="00A10500">
        <w:t>among women who</w:t>
      </w:r>
      <w:r>
        <w:t xml:space="preserve"> ha</w:t>
      </w:r>
      <w:r w:rsidRPr="00A10500">
        <w:t xml:space="preserve">ve experienced violence: </w:t>
      </w:r>
      <w:r>
        <w:t>‘v</w:t>
      </w:r>
      <w:r w:rsidRPr="00A10500">
        <w:t>ictim</w:t>
      </w:r>
      <w:r>
        <w:t>-</w:t>
      </w:r>
      <w:r w:rsidRPr="00A10500">
        <w:t>blaming</w:t>
      </w:r>
      <w:r>
        <w:t>’</w:t>
      </w:r>
      <w:r w:rsidRPr="00A10500">
        <w:t xml:space="preserve"> has been reported as an issue for women who are seeking help for complex post-traumatic stress and anxiety</w:t>
      </w:r>
      <w:r>
        <w:t>.</w:t>
      </w:r>
      <w:r>
        <w:rPr>
          <w:rStyle w:val="EndnoteReference"/>
        </w:rPr>
        <w:endnoteReference w:id="35"/>
      </w:r>
    </w:p>
    <w:p w14:paraId="06B4FFE9" w14:textId="77777777" w:rsidR="00566A97" w:rsidRDefault="00566A97" w:rsidP="00997256">
      <w:pPr>
        <w:autoSpaceDE w:val="0"/>
        <w:autoSpaceDN w:val="0"/>
        <w:adjustRightInd w:val="0"/>
        <w:rPr>
          <w:rFonts w:cstheme="minorHAnsi"/>
        </w:rPr>
      </w:pPr>
      <w:r w:rsidRPr="00997256">
        <w:rPr>
          <w:rFonts w:cstheme="minorHAnsi"/>
        </w:rPr>
        <w:t>Diagnoses of mental illness and coercive mental health practices have long been utilised as a form of abuse and violence against women and to control women who do not conform to social expectations about women’s behaviour.</w:t>
      </w:r>
      <w:r>
        <w:rPr>
          <w:rStyle w:val="EndnoteReference"/>
          <w:rFonts w:cstheme="minorHAnsi"/>
        </w:rPr>
        <w:endnoteReference w:id="36"/>
      </w:r>
      <w:r w:rsidRPr="00997256">
        <w:rPr>
          <w:rFonts w:cstheme="minorHAnsi"/>
        </w:rPr>
        <w:t xml:space="preserve"> </w:t>
      </w:r>
    </w:p>
    <w:p w14:paraId="73EF967D" w14:textId="02C2D012" w:rsidR="00B6588E" w:rsidRDefault="0037731B" w:rsidP="00997256">
      <w:pPr>
        <w:autoSpaceDE w:val="0"/>
        <w:autoSpaceDN w:val="0"/>
        <w:adjustRightInd w:val="0"/>
        <w:rPr>
          <w:rFonts w:cstheme="minorHAnsi"/>
        </w:rPr>
      </w:pPr>
      <w:r>
        <w:rPr>
          <w:rFonts w:cstheme="minorHAnsi"/>
        </w:rPr>
        <w:t xml:space="preserve">Women are also over-represented among those with the most stigmatised diagnoses. </w:t>
      </w:r>
      <w:r w:rsidRPr="0037731B">
        <w:rPr>
          <w:rFonts w:cstheme="minorHAnsi"/>
        </w:rPr>
        <w:t xml:space="preserve">For example, </w:t>
      </w:r>
      <w:r w:rsidR="00B6588E" w:rsidRPr="0037731B">
        <w:rPr>
          <w:rFonts w:cstheme="minorHAnsi"/>
        </w:rPr>
        <w:t xml:space="preserve">75% of people diagnosed with Borderline Personality Disorder </w:t>
      </w:r>
      <w:r w:rsidR="00B6588E">
        <w:rPr>
          <w:rFonts w:cstheme="minorHAnsi"/>
        </w:rPr>
        <w:t xml:space="preserve">(BPD) </w:t>
      </w:r>
      <w:r w:rsidR="00B6588E" w:rsidRPr="0037731B">
        <w:rPr>
          <w:rFonts w:cstheme="minorHAnsi"/>
        </w:rPr>
        <w:t>are women</w:t>
      </w:r>
      <w:r w:rsidR="00B6588E">
        <w:rPr>
          <w:rFonts w:cstheme="minorHAnsi"/>
        </w:rPr>
        <w:t>.</w:t>
      </w:r>
      <w:r w:rsidR="00B6588E" w:rsidRPr="0037731B">
        <w:rPr>
          <w:rFonts w:cstheme="minorHAnsi"/>
        </w:rPr>
        <w:t xml:space="preserve"> </w:t>
      </w:r>
      <w:r w:rsidR="00B6588E">
        <w:rPr>
          <w:rFonts w:cstheme="minorHAnsi"/>
        </w:rPr>
        <w:t>BPD is one of the most stigmatised/stigmatising diagnoses</w:t>
      </w:r>
      <w:r w:rsidR="00F26B77">
        <w:rPr>
          <w:rFonts w:cstheme="minorHAnsi"/>
        </w:rPr>
        <w:t>.</w:t>
      </w:r>
      <w:r w:rsidR="00B6588E">
        <w:rPr>
          <w:rFonts w:cstheme="minorHAnsi"/>
        </w:rPr>
        <w:t xml:space="preserve"> </w:t>
      </w:r>
      <w:r w:rsidR="00F26B77">
        <w:rPr>
          <w:rFonts w:cstheme="minorHAnsi"/>
        </w:rPr>
        <w:t>P</w:t>
      </w:r>
      <w:r w:rsidR="00B6588E">
        <w:rPr>
          <w:rFonts w:cstheme="minorHAnsi"/>
        </w:rPr>
        <w:t>eople with BPD are often stereotyped as manipulative, attention-seeking and self-destructive</w:t>
      </w:r>
      <w:r w:rsidR="00F26B77">
        <w:rPr>
          <w:rFonts w:cstheme="minorHAnsi"/>
        </w:rPr>
        <w:t>.</w:t>
      </w:r>
      <w:r w:rsidR="00B6588E">
        <w:rPr>
          <w:rFonts w:cstheme="minorHAnsi"/>
        </w:rPr>
        <w:t xml:space="preserve"> </w:t>
      </w:r>
      <w:r w:rsidR="00F26B77">
        <w:rPr>
          <w:rFonts w:cstheme="minorHAnsi"/>
        </w:rPr>
        <w:t>T</w:t>
      </w:r>
      <w:r w:rsidR="00B6588E">
        <w:rPr>
          <w:rFonts w:cstheme="minorHAnsi"/>
        </w:rPr>
        <w:t>he name of the disorder implies that the person’s personality is dysfunctional</w:t>
      </w:r>
      <w:r w:rsidR="00F26B77">
        <w:rPr>
          <w:rFonts w:cstheme="minorHAnsi"/>
        </w:rPr>
        <w:t xml:space="preserve"> or defective and suggests </w:t>
      </w:r>
      <w:r w:rsidR="00F26B77" w:rsidRPr="00F26B77">
        <w:rPr>
          <w:rFonts w:cstheme="minorHAnsi"/>
        </w:rPr>
        <w:t xml:space="preserve">that personality features </w:t>
      </w:r>
      <w:r w:rsidR="00F26B77">
        <w:rPr>
          <w:rFonts w:cstheme="minorHAnsi"/>
        </w:rPr>
        <w:t xml:space="preserve">associated with BPD </w:t>
      </w:r>
      <w:r w:rsidR="00F26B77" w:rsidRPr="00F26B77">
        <w:rPr>
          <w:rFonts w:cstheme="minorHAnsi"/>
        </w:rPr>
        <w:t>simply arise on their own</w:t>
      </w:r>
      <w:r w:rsidR="00F26B77">
        <w:rPr>
          <w:rFonts w:cstheme="minorHAnsi"/>
        </w:rPr>
        <w:t>, often resulting in</w:t>
      </w:r>
      <w:r w:rsidR="00F26B77" w:rsidRPr="00F26B77">
        <w:rPr>
          <w:rFonts w:cstheme="minorHAnsi"/>
        </w:rPr>
        <w:t xml:space="preserve"> harsh judgments about people </w:t>
      </w:r>
      <w:r w:rsidR="00F26B77">
        <w:rPr>
          <w:rFonts w:cstheme="minorHAnsi"/>
        </w:rPr>
        <w:t>with</w:t>
      </w:r>
      <w:r w:rsidR="00F26B77" w:rsidRPr="00F26B77">
        <w:rPr>
          <w:rFonts w:cstheme="minorHAnsi"/>
        </w:rPr>
        <w:t xml:space="preserve"> </w:t>
      </w:r>
      <w:r w:rsidR="00997256">
        <w:rPr>
          <w:rFonts w:cstheme="minorHAnsi"/>
        </w:rPr>
        <w:t xml:space="preserve">this </w:t>
      </w:r>
      <w:r w:rsidR="00F26B77" w:rsidRPr="00F26B77">
        <w:rPr>
          <w:rFonts w:cstheme="minorHAnsi"/>
        </w:rPr>
        <w:t>diagnosis.</w:t>
      </w:r>
      <w:r w:rsidR="00F26B77">
        <w:rPr>
          <w:rFonts w:cstheme="minorHAnsi"/>
        </w:rPr>
        <w:t xml:space="preserve"> What is missing is recognition of the prevalence of early life trauma and childhood sexual abuse amongst those diagnosed with BPD: </w:t>
      </w:r>
      <w:r w:rsidR="00B6588E" w:rsidRPr="0037731B">
        <w:rPr>
          <w:rFonts w:cstheme="minorHAnsi"/>
        </w:rPr>
        <w:t>85% of women with BPD have experienced significant early life trauma.</w:t>
      </w:r>
      <w:r w:rsidR="00F26B77">
        <w:rPr>
          <w:rStyle w:val="EndnoteReference"/>
          <w:rFonts w:cstheme="minorHAnsi"/>
        </w:rPr>
        <w:endnoteReference w:id="37"/>
      </w:r>
      <w:r w:rsidR="00B6588E" w:rsidRPr="0037731B">
        <w:rPr>
          <w:rFonts w:cstheme="minorHAnsi"/>
        </w:rPr>
        <w:t xml:space="preserve"> </w:t>
      </w:r>
      <w:r w:rsidR="00F26B77">
        <w:rPr>
          <w:rFonts w:cstheme="minorHAnsi"/>
        </w:rPr>
        <w:t xml:space="preserve">There is significant work to be done to de-stigmatise gendered diagnoses like BPD. </w:t>
      </w:r>
    </w:p>
    <w:p w14:paraId="03B973D8" w14:textId="19531A4C" w:rsidR="00BF7D3E" w:rsidRDefault="00BF7D3E" w:rsidP="0024157F">
      <w:pPr>
        <w:autoSpaceDE w:val="0"/>
        <w:autoSpaceDN w:val="0"/>
        <w:adjustRightInd w:val="0"/>
        <w:rPr>
          <w:rFonts w:cstheme="minorHAnsi"/>
        </w:rPr>
      </w:pPr>
      <w:r>
        <w:t xml:space="preserve">Anti-stigma initiatives must also be targeted beyond the mental health sector and general </w:t>
      </w:r>
      <w:r w:rsidRPr="00537ACE">
        <w:t xml:space="preserve">community, </w:t>
      </w:r>
      <w:r w:rsidR="00537ACE" w:rsidRPr="00537ACE">
        <w:t>with</w:t>
      </w:r>
      <w:r w:rsidR="00537ACE">
        <w:t xml:space="preserve"> a </w:t>
      </w:r>
      <w:r>
        <w:t>particular</w:t>
      </w:r>
      <w:r w:rsidR="00537ACE">
        <w:t xml:space="preserve"> focus on</w:t>
      </w:r>
      <w:r>
        <w:t xml:space="preserve"> the legal and justice sector. The </w:t>
      </w:r>
      <w:r w:rsidR="00D852D5">
        <w:rPr>
          <w:rFonts w:cstheme="minorHAnsi"/>
        </w:rPr>
        <w:t xml:space="preserve">stigma associated with </w:t>
      </w:r>
      <w:r>
        <w:rPr>
          <w:rFonts w:cstheme="minorHAnsi"/>
        </w:rPr>
        <w:t xml:space="preserve">female </w:t>
      </w:r>
      <w:r w:rsidR="00D852D5">
        <w:rPr>
          <w:rFonts w:cstheme="minorHAnsi"/>
        </w:rPr>
        <w:t xml:space="preserve">mental illness in </w:t>
      </w:r>
      <w:r w:rsidR="00D852D5" w:rsidRPr="00367FD8">
        <w:rPr>
          <w:rFonts w:cstheme="minorHAnsi"/>
        </w:rPr>
        <w:t>the legal system allows mental health diagnos</w:t>
      </w:r>
      <w:r>
        <w:rPr>
          <w:rFonts w:cstheme="minorHAnsi"/>
        </w:rPr>
        <w:t>e</w:t>
      </w:r>
      <w:r w:rsidR="00D852D5" w:rsidRPr="00367FD8">
        <w:rPr>
          <w:rFonts w:cstheme="minorHAnsi"/>
        </w:rPr>
        <w:t>s to be used against women in family law</w:t>
      </w:r>
      <w:r>
        <w:rPr>
          <w:rFonts w:cstheme="minorHAnsi"/>
        </w:rPr>
        <w:t>/custody</w:t>
      </w:r>
      <w:r w:rsidR="00D852D5" w:rsidRPr="00367FD8">
        <w:rPr>
          <w:rFonts w:cstheme="minorHAnsi"/>
        </w:rPr>
        <w:t xml:space="preserve"> matters</w:t>
      </w:r>
      <w:r>
        <w:rPr>
          <w:rFonts w:cstheme="minorHAnsi"/>
        </w:rPr>
        <w:t xml:space="preserve"> and in</w:t>
      </w:r>
      <w:r w:rsidR="00D852D5">
        <w:rPr>
          <w:rFonts w:cstheme="minorHAnsi"/>
        </w:rPr>
        <w:t xml:space="preserve"> sexual assault matters</w:t>
      </w:r>
      <w:r>
        <w:rPr>
          <w:rFonts w:cstheme="minorHAnsi"/>
        </w:rPr>
        <w:t>. As Australia’s National Research Organisation for Women’s Safety (ANROWS) has highlighted, r</w:t>
      </w:r>
      <w:proofErr w:type="spellStart"/>
      <w:r>
        <w:rPr>
          <w:rFonts w:ascii="Calibri" w:eastAsia="+mn-ea" w:hAnsi="Calibri" w:cs="+mn-cs"/>
          <w:color w:val="000000"/>
          <w:kern w:val="24"/>
          <w:lang w:val="en-US"/>
        </w:rPr>
        <w:t>aising</w:t>
      </w:r>
      <w:proofErr w:type="spellEnd"/>
      <w:r>
        <w:rPr>
          <w:rFonts w:ascii="Calibri" w:eastAsia="+mn-ea" w:hAnsi="Calibri" w:cs="+mn-cs"/>
          <w:color w:val="000000"/>
          <w:kern w:val="24"/>
          <w:lang w:val="en-US"/>
        </w:rPr>
        <w:t xml:space="preserve"> mental health in Family Court matters is gendered, with it given as the ‘reason limiting child contact’ with mothers in 30 percent of such cases, but only in 2 percent of cases limiting fathers, which does not reflect </w:t>
      </w:r>
      <w:r w:rsidR="00A0401D">
        <w:rPr>
          <w:rFonts w:ascii="Calibri" w:eastAsia="+mn-ea" w:hAnsi="Calibri" w:cs="+mn-cs"/>
          <w:color w:val="000000"/>
          <w:kern w:val="24"/>
          <w:lang w:val="en-US"/>
        </w:rPr>
        <w:t xml:space="preserve">the prevalence of </w:t>
      </w:r>
      <w:r w:rsidR="00A0401D">
        <w:t>mental ill-health.</w:t>
      </w:r>
      <w:r w:rsidR="00A0401D">
        <w:rPr>
          <w:rStyle w:val="EndnoteReference"/>
        </w:rPr>
        <w:endnoteReference w:id="38"/>
      </w:r>
    </w:p>
    <w:p w14:paraId="30D55A94" w14:textId="77777777" w:rsidR="00566A97" w:rsidRDefault="00566A97" w:rsidP="00BF7D3E">
      <w:pPr>
        <w:rPr>
          <w:rFonts w:ascii="Open Sans" w:hAnsi="Open Sans" w:cs="Open Sans"/>
          <w:b/>
          <w:color w:val="E57200"/>
          <w:spacing w:val="-10"/>
          <w:kern w:val="28"/>
          <w:sz w:val="28"/>
          <w:szCs w:val="28"/>
        </w:rPr>
      </w:pPr>
    </w:p>
    <w:p w14:paraId="52270E06" w14:textId="68CA380E" w:rsidR="00BF7D3E" w:rsidRPr="00BF7D3E" w:rsidRDefault="00BF7D3E" w:rsidP="00BF7D3E">
      <w:pPr>
        <w:rPr>
          <w:rFonts w:ascii="Open Sans" w:hAnsi="Open Sans" w:cs="Open Sans"/>
          <w:b/>
          <w:color w:val="E57200"/>
          <w:spacing w:val="-10"/>
          <w:kern w:val="28"/>
          <w:sz w:val="28"/>
          <w:szCs w:val="28"/>
        </w:rPr>
      </w:pPr>
      <w:r w:rsidRPr="00BF7D3E">
        <w:rPr>
          <w:rFonts w:ascii="Open Sans" w:hAnsi="Open Sans" w:cs="Open Sans"/>
          <w:b/>
          <w:color w:val="E57200"/>
          <w:spacing w:val="-10"/>
          <w:kern w:val="28"/>
          <w:sz w:val="28"/>
          <w:szCs w:val="28"/>
        </w:rPr>
        <w:lastRenderedPageBreak/>
        <w:t xml:space="preserve">Stigma </w:t>
      </w:r>
      <w:r>
        <w:rPr>
          <w:rFonts w:ascii="Open Sans" w:hAnsi="Open Sans" w:cs="Open Sans"/>
          <w:b/>
          <w:color w:val="E57200"/>
          <w:spacing w:val="-10"/>
          <w:kern w:val="28"/>
          <w:sz w:val="28"/>
          <w:szCs w:val="28"/>
        </w:rPr>
        <w:t>experienced by family members and carers</w:t>
      </w:r>
    </w:p>
    <w:p w14:paraId="16980078" w14:textId="77777777" w:rsidR="00BF7D3E" w:rsidRDefault="00D852D5" w:rsidP="00BF7D3E">
      <w:pPr>
        <w:pStyle w:val="paragraph"/>
        <w:spacing w:before="120" w:beforeAutospacing="0" w:after="120" w:afterAutospacing="0" w:line="259" w:lineRule="auto"/>
        <w:textAlignment w:val="baseline"/>
        <w:rPr>
          <w:rFonts w:asciiTheme="minorHAnsi" w:hAnsiTheme="minorHAnsi" w:cstheme="minorHAnsi"/>
          <w:sz w:val="22"/>
          <w:szCs w:val="22"/>
          <w:lang w:val="en-US"/>
        </w:rPr>
      </w:pPr>
      <w:r w:rsidRPr="000606C2">
        <w:rPr>
          <w:rFonts w:asciiTheme="minorHAnsi" w:hAnsiTheme="minorHAnsi" w:cstheme="minorHAnsi"/>
          <w:sz w:val="22"/>
          <w:szCs w:val="22"/>
          <w:lang w:val="en-US"/>
        </w:rPr>
        <w:t>Family members, friends and carers</w:t>
      </w:r>
      <w:r w:rsidR="00BF7D3E">
        <w:rPr>
          <w:rFonts w:asciiTheme="minorHAnsi" w:hAnsiTheme="minorHAnsi" w:cstheme="minorHAnsi"/>
          <w:sz w:val="22"/>
          <w:szCs w:val="22"/>
          <w:lang w:val="en-US"/>
        </w:rPr>
        <w:t xml:space="preserve"> of those with mental illness</w:t>
      </w:r>
      <w:r w:rsidRPr="000606C2">
        <w:rPr>
          <w:rFonts w:asciiTheme="minorHAnsi" w:hAnsiTheme="minorHAnsi" w:cstheme="minorHAnsi"/>
          <w:sz w:val="22"/>
          <w:szCs w:val="22"/>
          <w:lang w:val="en-US"/>
        </w:rPr>
        <w:t xml:space="preserve">, who are predominantly women, also experience the impacts of stigma and discrimination – both externally through contact with clinical services and a lack of community awareness, as well as internalised stigma, often linked to a lack of understanding of the diagnosis and what it does or does not mean for the person they care for and support. </w:t>
      </w:r>
    </w:p>
    <w:p w14:paraId="7889F714" w14:textId="61F3AD8B" w:rsidR="00BF7D3E" w:rsidRDefault="00D852D5" w:rsidP="00BF7D3E">
      <w:pPr>
        <w:pStyle w:val="paragraph"/>
        <w:spacing w:before="120" w:beforeAutospacing="0" w:after="120" w:afterAutospacing="0" w:line="259" w:lineRule="auto"/>
        <w:textAlignment w:val="baseline"/>
        <w:rPr>
          <w:rFonts w:asciiTheme="minorHAnsi" w:hAnsiTheme="minorHAnsi" w:cstheme="minorHAnsi"/>
          <w:sz w:val="22"/>
          <w:szCs w:val="22"/>
          <w:lang w:val="en-US"/>
        </w:rPr>
      </w:pPr>
      <w:r w:rsidRPr="000606C2">
        <w:rPr>
          <w:rFonts w:asciiTheme="minorHAnsi" w:hAnsiTheme="minorHAnsi" w:cstheme="minorHAnsi"/>
          <w:sz w:val="22"/>
          <w:szCs w:val="22"/>
          <w:lang w:val="en-US"/>
        </w:rPr>
        <w:t xml:space="preserve">There are also persistent and harmful stereotypes such as ‘the schizophrenogenic mother’ that remain today, which place guilt and blame on the mother/ female caregiver. These harmful and unfounded stereotypes </w:t>
      </w:r>
      <w:proofErr w:type="spellStart"/>
      <w:r w:rsidRPr="000606C2">
        <w:rPr>
          <w:rFonts w:asciiTheme="minorHAnsi" w:hAnsiTheme="minorHAnsi" w:cstheme="minorHAnsi"/>
          <w:sz w:val="22"/>
          <w:szCs w:val="22"/>
          <w:lang w:val="en-US"/>
        </w:rPr>
        <w:t>problematise</w:t>
      </w:r>
      <w:proofErr w:type="spellEnd"/>
      <w:r w:rsidRPr="000606C2">
        <w:rPr>
          <w:rFonts w:asciiTheme="minorHAnsi" w:hAnsiTheme="minorHAnsi" w:cstheme="minorHAnsi"/>
          <w:sz w:val="22"/>
          <w:szCs w:val="22"/>
          <w:lang w:val="en-US"/>
        </w:rPr>
        <w:t xml:space="preserve"> the individual and their experience of mental distress, whilst simultaneously framing the female caregiver as a problem or causal factor.</w:t>
      </w:r>
      <w:r w:rsidR="00BF7D3E" w:rsidRPr="00BF7D3E">
        <w:rPr>
          <w:rStyle w:val="EndnoteReference"/>
          <w:rFonts w:asciiTheme="minorHAnsi" w:hAnsiTheme="minorHAnsi" w:cstheme="minorHAnsi"/>
          <w:sz w:val="22"/>
          <w:szCs w:val="22"/>
          <w:lang w:val="en-US"/>
        </w:rPr>
        <w:t xml:space="preserve"> </w:t>
      </w:r>
      <w:r w:rsidR="00BF7D3E">
        <w:rPr>
          <w:rStyle w:val="EndnoteReference"/>
          <w:rFonts w:asciiTheme="minorHAnsi" w:hAnsiTheme="minorHAnsi" w:cstheme="minorHAnsi"/>
          <w:sz w:val="22"/>
          <w:szCs w:val="22"/>
          <w:lang w:val="en-US"/>
        </w:rPr>
        <w:endnoteReference w:id="39"/>
      </w:r>
      <w:r w:rsidR="00BF7D3E" w:rsidRPr="000606C2">
        <w:rPr>
          <w:rFonts w:asciiTheme="minorHAnsi" w:hAnsiTheme="minorHAnsi" w:cstheme="minorHAnsi"/>
          <w:sz w:val="22"/>
          <w:szCs w:val="22"/>
          <w:lang w:val="en-US"/>
        </w:rPr>
        <w:t> </w:t>
      </w:r>
      <w:r w:rsidRPr="000606C2">
        <w:rPr>
          <w:rFonts w:asciiTheme="minorHAnsi" w:hAnsiTheme="minorHAnsi" w:cstheme="minorHAnsi"/>
          <w:sz w:val="22"/>
          <w:szCs w:val="22"/>
          <w:lang w:val="en-US"/>
        </w:rPr>
        <w:t xml:space="preserve">While it is true that some family members are harmful, it is not the experience of all consumers and should not be an assumption upon which services operate. </w:t>
      </w:r>
    </w:p>
    <w:p w14:paraId="67806F29" w14:textId="19249184" w:rsidR="00D852D5" w:rsidRDefault="00BF7D3E" w:rsidP="00BF7D3E">
      <w:pPr>
        <w:pStyle w:val="paragraph"/>
        <w:spacing w:before="120" w:beforeAutospacing="0" w:after="120" w:afterAutospacing="0" w:line="259" w:lineRule="auto"/>
        <w:textAlignment w:val="baseline"/>
        <w:rPr>
          <w:rFonts w:asciiTheme="minorHAnsi" w:hAnsiTheme="minorHAnsi" w:cstheme="minorHAnsi"/>
          <w:sz w:val="22"/>
          <w:szCs w:val="22"/>
          <w:lang w:val="en-US"/>
        </w:rPr>
      </w:pPr>
      <w:r>
        <w:rPr>
          <w:rFonts w:asciiTheme="minorHAnsi" w:hAnsiTheme="minorHAnsi" w:cstheme="minorHAnsi"/>
          <w:sz w:val="22"/>
          <w:szCs w:val="22"/>
          <w:lang w:val="en-US"/>
        </w:rPr>
        <w:t>Any anti-stigma initiatives must include support and education for f</w:t>
      </w:r>
      <w:r w:rsidR="00D852D5" w:rsidRPr="000606C2">
        <w:rPr>
          <w:rFonts w:asciiTheme="minorHAnsi" w:hAnsiTheme="minorHAnsi" w:cstheme="minorHAnsi"/>
          <w:sz w:val="22"/>
          <w:szCs w:val="22"/>
          <w:lang w:val="en-US"/>
        </w:rPr>
        <w:t>amily, friends and carers in challenging experienced and internalised stigma.</w:t>
      </w:r>
    </w:p>
    <w:p w14:paraId="30D40C1D" w14:textId="4063035B" w:rsidR="00537ACE" w:rsidRPr="00537ACE" w:rsidRDefault="00537ACE" w:rsidP="00537ACE">
      <w:pPr>
        <w:rPr>
          <w:rFonts w:ascii="Open Sans" w:hAnsi="Open Sans" w:cs="Open Sans"/>
          <w:b/>
          <w:color w:val="E57200"/>
          <w:spacing w:val="-10"/>
          <w:kern w:val="28"/>
          <w:sz w:val="28"/>
          <w:szCs w:val="28"/>
        </w:rPr>
      </w:pPr>
      <w:r>
        <w:rPr>
          <w:rFonts w:ascii="Open Sans" w:hAnsi="Open Sans" w:cs="Open Sans"/>
          <w:b/>
          <w:color w:val="E57200"/>
          <w:spacing w:val="-10"/>
          <w:kern w:val="28"/>
          <w:sz w:val="28"/>
          <w:szCs w:val="28"/>
        </w:rPr>
        <w:t>An intersectional approach to reducing stigma and discrimination</w:t>
      </w:r>
    </w:p>
    <w:p w14:paraId="43A6CD32" w14:textId="41B327FC" w:rsidR="00537ACE" w:rsidRDefault="00537ACE" w:rsidP="00537ACE">
      <w:pPr>
        <w:autoSpaceDE w:val="0"/>
        <w:autoSpaceDN w:val="0"/>
        <w:adjustRightInd w:val="0"/>
        <w:spacing w:before="120" w:after="120" w:line="240" w:lineRule="auto"/>
        <w:rPr>
          <w:rFonts w:cstheme="minorHAnsi"/>
        </w:rPr>
      </w:pPr>
      <w:r>
        <w:rPr>
          <w:rFonts w:cstheme="minorHAnsi"/>
        </w:rPr>
        <w:t xml:space="preserve">An intersectional approach that recognises the ways in which intersecting forms of inequality and discrimination, including harmful attitudes, compound gendered experiences of stigma is essential. </w:t>
      </w:r>
    </w:p>
    <w:p w14:paraId="70F6291C" w14:textId="7FCD6B4F" w:rsidR="00537ACE" w:rsidRDefault="00537ACE" w:rsidP="00537ACE">
      <w:pPr>
        <w:autoSpaceDE w:val="0"/>
        <w:autoSpaceDN w:val="0"/>
        <w:adjustRightInd w:val="0"/>
        <w:spacing w:before="120" w:after="120" w:line="240" w:lineRule="auto"/>
        <w:rPr>
          <w:rFonts w:cstheme="minorHAnsi"/>
        </w:rPr>
      </w:pPr>
      <w:r>
        <w:rPr>
          <w:rFonts w:cstheme="minorHAnsi"/>
        </w:rPr>
        <w:t xml:space="preserve">Not only </w:t>
      </w:r>
      <w:r w:rsidR="00FD7E68">
        <w:rPr>
          <w:rFonts w:cstheme="minorHAnsi"/>
        </w:rPr>
        <w:t xml:space="preserve">are racism, homophobia, transphobia and other forms of discrimination drivers of poor mental health, but higher levels </w:t>
      </w:r>
      <w:r w:rsidRPr="00537ACE">
        <w:rPr>
          <w:rFonts w:cstheme="minorHAnsi"/>
        </w:rPr>
        <w:t xml:space="preserve">of stigma associated with mental illness in different communities </w:t>
      </w:r>
      <w:r w:rsidR="00FD7E68">
        <w:rPr>
          <w:rFonts w:cstheme="minorHAnsi"/>
        </w:rPr>
        <w:t>can be a</w:t>
      </w:r>
      <w:r w:rsidRPr="00537ACE">
        <w:rPr>
          <w:rFonts w:cstheme="minorHAnsi"/>
        </w:rPr>
        <w:t xml:space="preserve"> barrier to help-seeking</w:t>
      </w:r>
      <w:r w:rsidR="00FD7E68">
        <w:rPr>
          <w:rFonts w:cstheme="minorHAnsi"/>
        </w:rPr>
        <w:t>, for example in some</w:t>
      </w:r>
      <w:r w:rsidRPr="00537ACE">
        <w:rPr>
          <w:rFonts w:cstheme="minorHAnsi"/>
        </w:rPr>
        <w:t xml:space="preserve"> migrant communities</w:t>
      </w:r>
      <w:r w:rsidR="00FD7E68">
        <w:rPr>
          <w:rFonts w:cstheme="minorHAnsi"/>
        </w:rPr>
        <w:t>.</w:t>
      </w:r>
      <w:r w:rsidR="00FD7E68">
        <w:rPr>
          <w:rStyle w:val="EndnoteReference"/>
          <w:rFonts w:cstheme="minorHAnsi"/>
        </w:rPr>
        <w:endnoteReference w:id="40"/>
      </w:r>
      <w:r w:rsidRPr="00537ACE">
        <w:rPr>
          <w:rFonts w:cstheme="minorHAnsi"/>
        </w:rPr>
        <w:t xml:space="preserve"> </w:t>
      </w:r>
    </w:p>
    <w:p w14:paraId="767DE2F6" w14:textId="5599C6F8" w:rsidR="00CA2EDA" w:rsidRDefault="00537ACE" w:rsidP="00CA2EDA">
      <w:pPr>
        <w:autoSpaceDE w:val="0"/>
        <w:autoSpaceDN w:val="0"/>
        <w:adjustRightInd w:val="0"/>
        <w:spacing w:before="120" w:after="120" w:line="240" w:lineRule="auto"/>
      </w:pPr>
      <w:r w:rsidRPr="00294515">
        <w:t xml:space="preserve">Whenever possible, bilingual </w:t>
      </w:r>
      <w:r>
        <w:t xml:space="preserve">and bicultural </w:t>
      </w:r>
      <w:r w:rsidRPr="00294515">
        <w:t>education around mental illness and stigma should be available</w:t>
      </w:r>
      <w:r>
        <w:t xml:space="preserve"> for consumers, families and carers, communities and services. </w:t>
      </w:r>
    </w:p>
    <w:p w14:paraId="07730E7C" w14:textId="77777777" w:rsidR="00CA2EDA" w:rsidRDefault="00CA2EDA">
      <w:r>
        <w:br w:type="page"/>
      </w:r>
    </w:p>
    <w:p w14:paraId="1CDC9701" w14:textId="77777777" w:rsidR="008E7492" w:rsidRPr="008E7492" w:rsidRDefault="008E7492" w:rsidP="00CA2EDA">
      <w:pPr>
        <w:autoSpaceDE w:val="0"/>
        <w:autoSpaceDN w:val="0"/>
        <w:adjustRightInd w:val="0"/>
        <w:spacing w:before="120" w:after="120" w:line="240" w:lineRule="auto"/>
        <w:rPr>
          <w:rFonts w:eastAsiaTheme="majorEastAsia" w:cstheme="minorHAnsi"/>
        </w:rPr>
      </w:pPr>
    </w:p>
    <w:sectPr w:rsidR="008E7492" w:rsidRPr="008E7492" w:rsidSect="00895FD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E85C" w14:textId="77777777" w:rsidR="0024119A" w:rsidRDefault="0024119A" w:rsidP="00016DE9">
      <w:pPr>
        <w:spacing w:after="0" w:line="240" w:lineRule="auto"/>
      </w:pPr>
      <w:r>
        <w:separator/>
      </w:r>
    </w:p>
  </w:endnote>
  <w:endnote w:type="continuationSeparator" w:id="0">
    <w:p w14:paraId="7BC0D23B" w14:textId="77777777" w:rsidR="0024119A" w:rsidRDefault="0024119A" w:rsidP="00016DE9">
      <w:pPr>
        <w:spacing w:after="0" w:line="240" w:lineRule="auto"/>
      </w:pPr>
      <w:r>
        <w:continuationSeparator/>
      </w:r>
    </w:p>
  </w:endnote>
  <w:endnote w:id="1">
    <w:p w14:paraId="307E21B8" w14:textId="5E12FA11" w:rsidR="00E515F6" w:rsidRPr="00E515F6" w:rsidRDefault="00E515F6" w:rsidP="00CA2EDA">
      <w:pPr>
        <w:pStyle w:val="WMHAheading"/>
      </w:pPr>
      <w:r w:rsidRPr="00E515F6">
        <w:t>Endnotes</w:t>
      </w:r>
    </w:p>
    <w:p w14:paraId="64CD207A" w14:textId="36D1FA5A" w:rsidR="00895FD6" w:rsidRPr="00941218" w:rsidRDefault="00895FD6">
      <w:pPr>
        <w:pStyle w:val="EndnoteText"/>
        <w:rPr>
          <w:rFonts w:cstheme="minorHAnsi"/>
          <w:lang w:val="en-US"/>
        </w:rPr>
      </w:pPr>
      <w:r w:rsidRPr="00941218">
        <w:rPr>
          <w:rStyle w:val="EndnoteReference"/>
          <w:rFonts w:cstheme="minorHAnsi"/>
        </w:rPr>
        <w:endnoteRef/>
      </w:r>
      <w:r w:rsidRPr="00941218">
        <w:rPr>
          <w:rFonts w:cstheme="minorHAnsi"/>
        </w:rPr>
        <w:t xml:space="preserve"> </w:t>
      </w:r>
      <w:r w:rsidRPr="00941218">
        <w:rPr>
          <w:rFonts w:cstheme="minorHAnsi"/>
          <w:lang w:val="en-US"/>
        </w:rPr>
        <w:t xml:space="preserve">World Health Organization and Calouste Gulbenkian Foundation (2014) </w:t>
      </w:r>
      <w:hyperlink r:id="rId1" w:history="1">
        <w:r w:rsidRPr="00941218">
          <w:rPr>
            <w:rStyle w:val="Hyperlink"/>
            <w:rFonts w:cstheme="minorHAnsi"/>
            <w:lang w:val="en-US"/>
          </w:rPr>
          <w:t>Social determinants of mental health</w:t>
        </w:r>
      </w:hyperlink>
      <w:r w:rsidRPr="00941218">
        <w:rPr>
          <w:rFonts w:cstheme="minorHAnsi"/>
          <w:lang w:val="en-US"/>
        </w:rPr>
        <w:t xml:space="preserve"> World Health Organization, Geneva.</w:t>
      </w:r>
    </w:p>
  </w:endnote>
  <w:endnote w:id="2">
    <w:p w14:paraId="41CEDAD1" w14:textId="71863B3B" w:rsidR="00895FD6" w:rsidRPr="00941218" w:rsidRDefault="00895FD6">
      <w:pPr>
        <w:pStyle w:val="EndnoteText"/>
        <w:rPr>
          <w:rFonts w:cstheme="minorHAnsi"/>
        </w:rPr>
      </w:pPr>
      <w:r w:rsidRPr="00941218">
        <w:rPr>
          <w:rStyle w:val="EndnoteReference"/>
          <w:rFonts w:cstheme="minorHAnsi"/>
        </w:rPr>
        <w:endnoteRef/>
      </w:r>
      <w:r w:rsidRPr="00941218">
        <w:rPr>
          <w:rFonts w:cstheme="minorHAnsi"/>
        </w:rPr>
        <w:t xml:space="preserve"> Women’s Mental Health Alliance (2021) </w:t>
      </w:r>
      <w:hyperlink r:id="rId2" w:history="1">
        <w:r w:rsidRPr="00941218">
          <w:rPr>
            <w:rStyle w:val="Hyperlink"/>
            <w:rFonts w:cstheme="minorHAnsi"/>
          </w:rPr>
          <w:t>Snapshot of Australian women’s mental health</w:t>
        </w:r>
      </w:hyperlink>
      <w:r w:rsidRPr="00941218">
        <w:rPr>
          <w:rFonts w:cstheme="minorHAnsi"/>
        </w:rPr>
        <w:t xml:space="preserve">, Women’s </w:t>
      </w:r>
      <w:r w:rsidR="00413070" w:rsidRPr="00941218">
        <w:rPr>
          <w:rFonts w:cstheme="minorHAnsi"/>
        </w:rPr>
        <w:t>Health Victoria</w:t>
      </w:r>
      <w:r w:rsidRPr="00941218">
        <w:rPr>
          <w:rFonts w:cstheme="minorHAnsi"/>
        </w:rPr>
        <w:t>, Melbourne.</w:t>
      </w:r>
    </w:p>
  </w:endnote>
  <w:endnote w:id="3">
    <w:p w14:paraId="49672CDD" w14:textId="7E87EB15" w:rsidR="00895FD6" w:rsidRPr="00941218" w:rsidRDefault="00895FD6">
      <w:pPr>
        <w:pStyle w:val="EndnoteText"/>
        <w:rPr>
          <w:rFonts w:cstheme="minorHAnsi"/>
        </w:rPr>
      </w:pPr>
      <w:r w:rsidRPr="00941218">
        <w:rPr>
          <w:rStyle w:val="EndnoteReference"/>
          <w:rFonts w:cstheme="minorHAnsi"/>
        </w:rPr>
        <w:endnoteRef/>
      </w:r>
      <w:r w:rsidRPr="00941218">
        <w:rPr>
          <w:rFonts w:cstheme="minorHAnsi"/>
        </w:rPr>
        <w:t xml:space="preserve"> At a national level, females are both significantly more likely to access Medicare-subsidised mental health services, and more likely to be attended by an ambulance for suicide attempt and self-injury: Australian Institute of Health &amp; Welfare, </w:t>
      </w:r>
      <w:r w:rsidRPr="00941218">
        <w:rPr>
          <w:rFonts w:cstheme="minorHAnsi"/>
          <w:i/>
          <w:iCs/>
        </w:rPr>
        <w:t xml:space="preserve">Mental Health Services in Australia </w:t>
      </w:r>
      <w:r w:rsidRPr="00941218">
        <w:rPr>
          <w:rFonts w:cstheme="minorHAnsi"/>
        </w:rPr>
        <w:t>[</w:t>
      </w:r>
      <w:hyperlink r:id="rId3" w:history="1">
        <w:r w:rsidRPr="00E515F6">
          <w:rPr>
            <w:rStyle w:val="Hyperlink"/>
            <w:rFonts w:cstheme="minorHAnsi"/>
          </w:rPr>
          <w:t>Website</w:t>
        </w:r>
      </w:hyperlink>
      <w:r w:rsidRPr="00941218">
        <w:rPr>
          <w:rFonts w:cstheme="minorHAnsi"/>
        </w:rPr>
        <w:t xml:space="preserve">], Table MBS.2. Accessed 31 May 2021; Australian Institute of Health &amp; Welfare, </w:t>
      </w:r>
      <w:r w:rsidRPr="00941218">
        <w:rPr>
          <w:rFonts w:cstheme="minorHAnsi"/>
          <w:i/>
          <w:iCs/>
        </w:rPr>
        <w:t xml:space="preserve">Suicide &amp; self-harm monitoring </w:t>
      </w:r>
      <w:r w:rsidRPr="00941218">
        <w:rPr>
          <w:rFonts w:cstheme="minorHAnsi"/>
        </w:rPr>
        <w:t>[</w:t>
      </w:r>
      <w:hyperlink r:id="rId4" w:history="1">
        <w:r w:rsidRPr="00E515F6">
          <w:rPr>
            <w:rStyle w:val="Hyperlink"/>
            <w:rFonts w:cstheme="minorHAnsi"/>
          </w:rPr>
          <w:t>Website</w:t>
        </w:r>
      </w:hyperlink>
      <w:r w:rsidRPr="00941218">
        <w:rPr>
          <w:rFonts w:cstheme="minorHAnsi"/>
        </w:rPr>
        <w:t xml:space="preserve">], Ambulance attendances, self-harm behaviours &amp; mental health. Accessed 31 May 2021.   </w:t>
      </w:r>
    </w:p>
  </w:endnote>
  <w:endnote w:id="4">
    <w:p w14:paraId="5B8168F9" w14:textId="14C61EF3" w:rsidR="00E77757" w:rsidRPr="00941218" w:rsidRDefault="00E77757" w:rsidP="00E77757">
      <w:pPr>
        <w:pStyle w:val="EndnoteText"/>
        <w:rPr>
          <w:rFonts w:cstheme="minorHAnsi"/>
        </w:rPr>
      </w:pPr>
      <w:r w:rsidRPr="00941218">
        <w:rPr>
          <w:rStyle w:val="EndnoteReference"/>
          <w:rFonts w:cstheme="minorHAnsi"/>
        </w:rPr>
        <w:endnoteRef/>
      </w:r>
      <w:r w:rsidRPr="00941218">
        <w:rPr>
          <w:rFonts w:cstheme="minorHAnsi"/>
        </w:rPr>
        <w:t xml:space="preserve"> </w:t>
      </w:r>
      <w:r w:rsidRPr="00E77757">
        <w:rPr>
          <w:rFonts w:cstheme="minorHAnsi"/>
        </w:rPr>
        <w:t xml:space="preserve">Duggan M (2016) </w:t>
      </w:r>
      <w:hyperlink r:id="rId5" w:history="1">
        <w:r w:rsidRPr="00E515F6">
          <w:rPr>
            <w:rStyle w:val="Hyperlink"/>
            <w:rFonts w:cstheme="minorHAnsi"/>
          </w:rPr>
          <w:t xml:space="preserve">Investing in women’s mental health: </w:t>
        </w:r>
        <w:r w:rsidR="00E515F6">
          <w:rPr>
            <w:rStyle w:val="Hyperlink"/>
            <w:rFonts w:cstheme="minorHAnsi"/>
          </w:rPr>
          <w:t>S</w:t>
        </w:r>
        <w:r w:rsidRPr="00E515F6">
          <w:rPr>
            <w:rStyle w:val="Hyperlink"/>
            <w:rFonts w:cstheme="minorHAnsi"/>
          </w:rPr>
          <w:t>trengthening the foundations for women, families and the Australian economy</w:t>
        </w:r>
      </w:hyperlink>
      <w:r>
        <w:rPr>
          <w:rFonts w:cstheme="minorHAnsi"/>
        </w:rPr>
        <w:t>.</w:t>
      </w:r>
      <w:r w:rsidRPr="00E77757">
        <w:rPr>
          <w:rFonts w:cstheme="minorHAnsi"/>
        </w:rPr>
        <w:t xml:space="preserve"> Australian Health Policy Collaboration, Melbourne – (AHPC Issues Paper; 2016-02)</w:t>
      </w:r>
      <w:r>
        <w:rPr>
          <w:rFonts w:cstheme="minorHAnsi"/>
        </w:rPr>
        <w:t xml:space="preserve">; </w:t>
      </w:r>
      <w:r w:rsidRPr="00E77757">
        <w:rPr>
          <w:rFonts w:cstheme="minorHAnsi"/>
        </w:rPr>
        <w:t xml:space="preserve">Abel K and </w:t>
      </w:r>
      <w:r w:rsidRPr="00E77757">
        <w:rPr>
          <w:rFonts w:cstheme="minorHAnsi"/>
        </w:rPr>
        <w:t xml:space="preserve">Newbigging K (2018) </w:t>
      </w:r>
      <w:hyperlink r:id="rId6" w:history="1">
        <w:r w:rsidRPr="00E515F6">
          <w:rPr>
            <w:rStyle w:val="Hyperlink"/>
            <w:rFonts w:cstheme="minorHAnsi"/>
          </w:rPr>
          <w:t>Addressing unmet needs in women’s mental health</w:t>
        </w:r>
      </w:hyperlink>
      <w:r w:rsidR="00E515F6">
        <w:rPr>
          <w:rFonts w:cstheme="minorHAnsi"/>
        </w:rPr>
        <w:t>.</w:t>
      </w:r>
      <w:r w:rsidRPr="00E77757">
        <w:rPr>
          <w:rFonts w:cstheme="minorHAnsi"/>
        </w:rPr>
        <w:t xml:space="preserve"> B</w:t>
      </w:r>
      <w:r w:rsidR="00E515F6">
        <w:rPr>
          <w:rFonts w:cstheme="minorHAnsi"/>
        </w:rPr>
        <w:t>ritish Medical Association</w:t>
      </w:r>
      <w:r>
        <w:rPr>
          <w:rFonts w:cstheme="minorHAnsi"/>
        </w:rPr>
        <w:t>.</w:t>
      </w:r>
    </w:p>
  </w:endnote>
  <w:endnote w:id="5">
    <w:p w14:paraId="4665E4E1" w14:textId="77777777" w:rsidR="00CB6262" w:rsidRPr="00941218" w:rsidRDefault="00CB6262" w:rsidP="00CB6262">
      <w:pPr>
        <w:pStyle w:val="EndnoteText"/>
        <w:rPr>
          <w:rFonts w:cstheme="minorHAnsi"/>
        </w:rPr>
      </w:pPr>
      <w:r w:rsidRPr="00941218">
        <w:rPr>
          <w:rStyle w:val="EndnoteReference"/>
          <w:rFonts w:cstheme="minorHAnsi"/>
        </w:rPr>
        <w:endnoteRef/>
      </w:r>
      <w:r w:rsidRPr="00941218">
        <w:rPr>
          <w:rFonts w:cstheme="minorHAnsi"/>
        </w:rPr>
        <w:t xml:space="preserve"> Fisher J (2020), </w:t>
      </w:r>
      <w:hyperlink r:id="rId7" w:history="1">
        <w:r w:rsidRPr="00941218">
          <w:rPr>
            <w:rStyle w:val="Hyperlink"/>
            <w:rFonts w:cstheme="minorHAnsi"/>
          </w:rPr>
          <w:t>Gender competence and mental health promotion</w:t>
        </w:r>
      </w:hyperlink>
      <w:r w:rsidRPr="00941218">
        <w:rPr>
          <w:rFonts w:cstheme="minorHAnsi"/>
        </w:rPr>
        <w:t xml:space="preserve">. World Psychiatry 19:1.  </w:t>
      </w:r>
    </w:p>
  </w:endnote>
  <w:endnote w:id="6">
    <w:p w14:paraId="0691A3AF" w14:textId="58279E28" w:rsidR="00895FD6" w:rsidRPr="00941218" w:rsidRDefault="00895FD6">
      <w:pPr>
        <w:pStyle w:val="EndnoteText"/>
        <w:rPr>
          <w:rFonts w:cstheme="minorHAnsi"/>
        </w:rPr>
      </w:pPr>
      <w:r w:rsidRPr="00941218">
        <w:rPr>
          <w:rStyle w:val="EndnoteReference"/>
          <w:rFonts w:cstheme="minorHAnsi"/>
        </w:rPr>
        <w:endnoteRef/>
      </w:r>
      <w:r w:rsidRPr="00941218">
        <w:rPr>
          <w:rFonts w:cstheme="minorHAnsi"/>
        </w:rPr>
        <w:t xml:space="preserve"> </w:t>
      </w:r>
      <w:r w:rsidR="0016019D" w:rsidRPr="008A4B7D">
        <w:t xml:space="preserve">ANROWS (2020). </w:t>
      </w:r>
      <w:hyperlink r:id="rId8" w:history="1">
        <w:r w:rsidR="0016019D" w:rsidRPr="00E515F6">
          <w:rPr>
            <w:rStyle w:val="Hyperlink"/>
          </w:rPr>
          <w:t>Violence against women and mental health</w:t>
        </w:r>
      </w:hyperlink>
      <w:r w:rsidR="00E515F6">
        <w:rPr>
          <w:color w:val="0461C1"/>
        </w:rPr>
        <w:t>.</w:t>
      </w:r>
      <w:r w:rsidR="0016019D" w:rsidRPr="008A4B7D">
        <w:rPr>
          <w:color w:val="0461C1"/>
        </w:rPr>
        <w:t xml:space="preserve"> </w:t>
      </w:r>
      <w:r w:rsidR="0016019D" w:rsidRPr="008A4B7D">
        <w:t>Australia’s National Research Organisation for Women’s Safety. Sydney</w:t>
      </w:r>
      <w:r w:rsidR="00E515F6">
        <w:t xml:space="preserve"> –</w:t>
      </w:r>
      <w:r w:rsidR="0016019D" w:rsidRPr="008A4B7D">
        <w:t xml:space="preserve"> </w:t>
      </w:r>
      <w:r w:rsidR="00E515F6" w:rsidRPr="00E515F6">
        <w:t>(</w:t>
      </w:r>
      <w:r w:rsidR="0016019D" w:rsidRPr="00E515F6">
        <w:t>ANROWS Insights, 04/2020).</w:t>
      </w:r>
      <w:r w:rsidR="0016019D" w:rsidRPr="008A4B7D">
        <w:t xml:space="preserve"> </w:t>
      </w:r>
      <w:r w:rsidR="0016019D" w:rsidRPr="008A4B7D">
        <w:rPr>
          <w:sz w:val="24"/>
          <w:szCs w:val="24"/>
        </w:rPr>
        <w:t xml:space="preserve"> </w:t>
      </w:r>
    </w:p>
  </w:endnote>
  <w:endnote w:id="7">
    <w:p w14:paraId="18B7F081" w14:textId="7F0F83BD" w:rsidR="00895FD6" w:rsidRPr="00941218" w:rsidRDefault="00895FD6" w:rsidP="00F75916">
      <w:pPr>
        <w:spacing w:after="0"/>
        <w:rPr>
          <w:rFonts w:cstheme="minorHAnsi"/>
          <w:sz w:val="20"/>
          <w:szCs w:val="20"/>
        </w:rPr>
      </w:pPr>
      <w:r w:rsidRPr="00941218">
        <w:rPr>
          <w:rStyle w:val="EndnoteReference"/>
          <w:rFonts w:cstheme="minorHAnsi"/>
          <w:sz w:val="20"/>
          <w:szCs w:val="20"/>
        </w:rPr>
        <w:endnoteRef/>
      </w:r>
      <w:r w:rsidRPr="00941218">
        <w:rPr>
          <w:rFonts w:cstheme="minorHAnsi"/>
          <w:sz w:val="20"/>
          <w:szCs w:val="20"/>
        </w:rPr>
        <w:t xml:space="preserve"> </w:t>
      </w:r>
      <w:r w:rsidRPr="00941218">
        <w:rPr>
          <w:rFonts w:cstheme="minorHAnsi"/>
          <w:sz w:val="20"/>
          <w:szCs w:val="20"/>
        </w:rPr>
        <w:t xml:space="preserve">O’Dwyer C et al. (2019) </w:t>
      </w:r>
      <w:hyperlink r:id="rId9" w:history="1">
        <w:r w:rsidRPr="00E515F6">
          <w:rPr>
            <w:rStyle w:val="Hyperlink"/>
            <w:rFonts w:cstheme="minorHAnsi"/>
            <w:sz w:val="20"/>
            <w:szCs w:val="20"/>
          </w:rPr>
          <w:t>Health professionals’ experiences of providing care for women survivors of sexual violence in psychiatric inpatient units</w:t>
        </w:r>
      </w:hyperlink>
      <w:r w:rsidR="00E515F6">
        <w:rPr>
          <w:rFonts w:cstheme="minorHAnsi"/>
          <w:sz w:val="20"/>
          <w:szCs w:val="20"/>
        </w:rPr>
        <w:t>.</w:t>
      </w:r>
      <w:r w:rsidRPr="00941218">
        <w:rPr>
          <w:rFonts w:cstheme="minorHAnsi"/>
          <w:sz w:val="20"/>
          <w:szCs w:val="20"/>
        </w:rPr>
        <w:t xml:space="preserve"> BMC Health Services Research</w:t>
      </w:r>
      <w:r w:rsidR="00E74094">
        <w:rPr>
          <w:rFonts w:cstheme="minorHAnsi"/>
          <w:sz w:val="20"/>
          <w:szCs w:val="20"/>
        </w:rPr>
        <w:t xml:space="preserve"> </w:t>
      </w:r>
      <w:r w:rsidR="00E74094" w:rsidRPr="00E74094">
        <w:rPr>
          <w:rFonts w:cstheme="minorHAnsi"/>
          <w:sz w:val="20"/>
          <w:szCs w:val="20"/>
        </w:rPr>
        <w:t>19:839.</w:t>
      </w:r>
    </w:p>
  </w:endnote>
  <w:endnote w:id="8">
    <w:p w14:paraId="544D8402" w14:textId="1973EF28" w:rsidR="00895FD6" w:rsidRPr="00941218" w:rsidRDefault="00895FD6" w:rsidP="00241E08">
      <w:pPr>
        <w:pStyle w:val="EndnoteText"/>
        <w:rPr>
          <w:rFonts w:cstheme="minorHAnsi"/>
        </w:rPr>
      </w:pPr>
      <w:r w:rsidRPr="00941218">
        <w:rPr>
          <w:rStyle w:val="EndnoteReference"/>
          <w:rFonts w:cstheme="minorHAnsi"/>
        </w:rPr>
        <w:endnoteRef/>
      </w:r>
      <w:r w:rsidRPr="00941218">
        <w:rPr>
          <w:rFonts w:cstheme="minorHAnsi"/>
        </w:rPr>
        <w:t xml:space="preserve"> </w:t>
      </w:r>
      <w:r w:rsidRPr="00941218">
        <w:rPr>
          <w:rFonts w:cstheme="minorHAnsi"/>
        </w:rPr>
        <w:t xml:space="preserve">Trevillion K et al (2014) </w:t>
      </w:r>
      <w:hyperlink r:id="rId10" w:history="1">
        <w:r w:rsidRPr="00E515F6">
          <w:rPr>
            <w:rStyle w:val="Hyperlink"/>
            <w:rFonts w:cstheme="minorHAnsi"/>
          </w:rPr>
          <w:t>Disclosure of domestic violence in mental health settings: A qualitative meta-synthesis</w:t>
        </w:r>
      </w:hyperlink>
      <w:r w:rsidRPr="00E515F6">
        <w:rPr>
          <w:rFonts w:cstheme="minorHAnsi"/>
        </w:rPr>
        <w:t>.</w:t>
      </w:r>
      <w:r w:rsidRPr="00941218">
        <w:rPr>
          <w:rFonts w:cstheme="minorHAnsi"/>
          <w:i/>
          <w:iCs/>
        </w:rPr>
        <w:t xml:space="preserve"> </w:t>
      </w:r>
      <w:r w:rsidRPr="00941218">
        <w:rPr>
          <w:rFonts w:cstheme="minorHAnsi"/>
        </w:rPr>
        <w:t xml:space="preserve">International Review of Psychiatry. 26 (4):430-44; </w:t>
      </w:r>
      <w:r w:rsidRPr="00941218">
        <w:rPr>
          <w:rFonts w:cstheme="minorHAnsi"/>
          <w:color w:val="212121"/>
        </w:rPr>
        <w:t xml:space="preserve">Rose D et al (2011) </w:t>
      </w:r>
      <w:hyperlink r:id="rId11" w:history="1">
        <w:r w:rsidRPr="00E515F6">
          <w:rPr>
            <w:rStyle w:val="Hyperlink"/>
            <w:rFonts w:cstheme="minorHAnsi"/>
          </w:rPr>
          <w:t>Barriers and facilitators of disclosures of domestic violence by mental health service users: qualitative study</w:t>
        </w:r>
      </w:hyperlink>
      <w:r w:rsidRPr="00941218">
        <w:rPr>
          <w:rFonts w:cstheme="minorHAnsi"/>
          <w:i/>
          <w:iCs/>
          <w:color w:val="212121"/>
        </w:rPr>
        <w:t xml:space="preserve">. </w:t>
      </w:r>
      <w:r w:rsidRPr="00941218">
        <w:rPr>
          <w:rFonts w:cstheme="minorHAnsi"/>
          <w:color w:val="212121"/>
        </w:rPr>
        <w:t>Br J Psychiatry; 198(3):189-194</w:t>
      </w:r>
      <w:r w:rsidR="00E515F6">
        <w:rPr>
          <w:rFonts w:cstheme="minorHAnsi"/>
          <w:color w:val="212121"/>
        </w:rPr>
        <w:t>.</w:t>
      </w:r>
      <w:r w:rsidRPr="00941218">
        <w:rPr>
          <w:rFonts w:cstheme="minorHAnsi"/>
          <w:color w:val="212121"/>
        </w:rPr>
        <w:t xml:space="preserve"> </w:t>
      </w:r>
    </w:p>
  </w:endnote>
  <w:endnote w:id="9">
    <w:p w14:paraId="7853B7BB" w14:textId="5D28908E" w:rsidR="00895FD6" w:rsidRPr="00941218" w:rsidRDefault="00895FD6">
      <w:pPr>
        <w:pStyle w:val="EndnoteText"/>
        <w:rPr>
          <w:rFonts w:cstheme="minorHAnsi"/>
        </w:rPr>
      </w:pPr>
      <w:r w:rsidRPr="00941218">
        <w:rPr>
          <w:rStyle w:val="EndnoteReference"/>
          <w:rFonts w:cstheme="minorHAnsi"/>
        </w:rPr>
        <w:endnoteRef/>
      </w:r>
      <w:r w:rsidRPr="00941218">
        <w:rPr>
          <w:rFonts w:cstheme="minorHAnsi"/>
        </w:rPr>
        <w:t xml:space="preserve"> Hegarty K et al (2020)</w:t>
      </w:r>
      <w:r w:rsidRPr="00941218">
        <w:rPr>
          <w:rFonts w:cstheme="minorHAnsi"/>
          <w:color w:val="202020"/>
          <w:shd w:val="clear" w:color="auto" w:fill="FFFFFF"/>
        </w:rPr>
        <w:t xml:space="preserve"> </w:t>
      </w:r>
      <w:hyperlink r:id="rId12" w:history="1">
        <w:r w:rsidRPr="00E515F6">
          <w:rPr>
            <w:rStyle w:val="Hyperlink"/>
            <w:rFonts w:cstheme="minorHAnsi"/>
          </w:rPr>
          <w:t>Health practitioners' readiness to address domestic violence and abuse: A qualitative meta-synthesis</w:t>
        </w:r>
      </w:hyperlink>
      <w:r w:rsidRPr="00941218">
        <w:rPr>
          <w:rFonts w:cstheme="minorHAnsi"/>
        </w:rPr>
        <w:t xml:space="preserve">. </w:t>
      </w:r>
      <w:r w:rsidRPr="00941218">
        <w:rPr>
          <w:rFonts w:cstheme="minorHAnsi"/>
        </w:rPr>
        <w:t>PLoS ONE 15(6): e0234067.</w:t>
      </w:r>
    </w:p>
  </w:endnote>
  <w:endnote w:id="10">
    <w:p w14:paraId="7CD122B0" w14:textId="4FAA2462" w:rsidR="004A6B0C" w:rsidRPr="00941218" w:rsidRDefault="004A6B0C">
      <w:pPr>
        <w:pStyle w:val="EndnoteText"/>
        <w:rPr>
          <w:rFonts w:cstheme="minorHAnsi"/>
        </w:rPr>
      </w:pPr>
      <w:r w:rsidRPr="00941218">
        <w:rPr>
          <w:rStyle w:val="EndnoteReference"/>
          <w:rFonts w:cstheme="minorHAnsi"/>
        </w:rPr>
        <w:endnoteRef/>
      </w:r>
      <w:r w:rsidRPr="00941218">
        <w:rPr>
          <w:rFonts w:cstheme="minorHAnsi"/>
        </w:rPr>
        <w:t xml:space="preserve"> </w:t>
      </w:r>
      <w:r w:rsidR="00871F4B" w:rsidRPr="00941218">
        <w:rPr>
          <w:rFonts w:cstheme="minorHAnsi"/>
        </w:rPr>
        <w:t xml:space="preserve">Quadara A (2015) </w:t>
      </w:r>
      <w:hyperlink r:id="rId13" w:history="1">
        <w:r w:rsidR="00871F4B" w:rsidRPr="00E515F6">
          <w:rPr>
            <w:rStyle w:val="Hyperlink"/>
            <w:rFonts w:cstheme="minorHAnsi"/>
          </w:rPr>
          <w:t>Implementing trauma-informed systems of care in health settings: The WITH study: State of knowledge paper</w:t>
        </w:r>
      </w:hyperlink>
      <w:r w:rsidR="00E74094">
        <w:rPr>
          <w:rFonts w:cstheme="minorHAnsi"/>
        </w:rPr>
        <w:t>.</w:t>
      </w:r>
      <w:r w:rsidR="00871F4B" w:rsidRPr="00941218">
        <w:rPr>
          <w:rFonts w:cstheme="minorHAnsi"/>
        </w:rPr>
        <w:t xml:space="preserve"> Australia’s National Research Organisation for Women’s Safety.</w:t>
      </w:r>
      <w:r w:rsidR="00E74094">
        <w:rPr>
          <w:rFonts w:cstheme="minorHAnsi"/>
        </w:rPr>
        <w:t xml:space="preserve"> Sydney – (</w:t>
      </w:r>
      <w:r w:rsidR="00E74094" w:rsidRPr="00941218">
        <w:rPr>
          <w:rFonts w:cstheme="minorHAnsi"/>
        </w:rPr>
        <w:t>ANROWS</w:t>
      </w:r>
      <w:r w:rsidR="00E74094">
        <w:rPr>
          <w:rFonts w:cstheme="minorHAnsi"/>
        </w:rPr>
        <w:t xml:space="preserve"> </w:t>
      </w:r>
      <w:r w:rsidR="00E74094" w:rsidRPr="00941218">
        <w:rPr>
          <w:rFonts w:cstheme="minorHAnsi"/>
        </w:rPr>
        <w:t>Landscapes, 10/2015).</w:t>
      </w:r>
    </w:p>
  </w:endnote>
  <w:endnote w:id="11">
    <w:p w14:paraId="3F0B64F8" w14:textId="3DC278E8" w:rsidR="003E2542" w:rsidRPr="00941218" w:rsidRDefault="003E2542">
      <w:pPr>
        <w:pStyle w:val="EndnoteText"/>
        <w:rPr>
          <w:rFonts w:cstheme="minorHAnsi"/>
        </w:rPr>
      </w:pPr>
      <w:r w:rsidRPr="00941218">
        <w:rPr>
          <w:rStyle w:val="EndnoteReference"/>
          <w:rFonts w:cstheme="minorHAnsi"/>
        </w:rPr>
        <w:endnoteRef/>
      </w:r>
      <w:r w:rsidRPr="00941218">
        <w:rPr>
          <w:rFonts w:cstheme="minorHAnsi"/>
        </w:rPr>
        <w:t xml:space="preserve"> </w:t>
      </w:r>
      <w:r w:rsidR="004A6B0C" w:rsidRPr="00941218">
        <w:rPr>
          <w:rFonts w:cstheme="minorHAnsi"/>
        </w:rPr>
        <w:t xml:space="preserve">Quadara A (2015) </w:t>
      </w:r>
      <w:hyperlink r:id="rId14" w:history="1">
        <w:r w:rsidR="00E74094" w:rsidRPr="00E515F6">
          <w:rPr>
            <w:rStyle w:val="Hyperlink"/>
            <w:rFonts w:cstheme="minorHAnsi"/>
          </w:rPr>
          <w:t>Implementing trauma-informed systems of care in health settings: The WITH study: State of knowledge paper</w:t>
        </w:r>
      </w:hyperlink>
      <w:r w:rsidR="00E74094">
        <w:rPr>
          <w:rFonts w:cstheme="minorHAnsi"/>
        </w:rPr>
        <w:t>.</w:t>
      </w:r>
      <w:r w:rsidR="00E74094" w:rsidRPr="00941218">
        <w:rPr>
          <w:rFonts w:cstheme="minorHAnsi"/>
        </w:rPr>
        <w:t xml:space="preserve"> Australia’s National Research Organisation for Women’s Safety.</w:t>
      </w:r>
      <w:r w:rsidR="00E74094">
        <w:rPr>
          <w:rFonts w:cstheme="minorHAnsi"/>
        </w:rPr>
        <w:t xml:space="preserve"> Sydney – (</w:t>
      </w:r>
      <w:r w:rsidR="00E74094" w:rsidRPr="00941218">
        <w:rPr>
          <w:rFonts w:cstheme="minorHAnsi"/>
        </w:rPr>
        <w:t>ANROWS</w:t>
      </w:r>
      <w:r w:rsidR="00E74094">
        <w:rPr>
          <w:rFonts w:cstheme="minorHAnsi"/>
        </w:rPr>
        <w:t xml:space="preserve"> </w:t>
      </w:r>
      <w:r w:rsidR="00E74094" w:rsidRPr="00941218">
        <w:rPr>
          <w:rFonts w:cstheme="minorHAnsi"/>
        </w:rPr>
        <w:t>Landscapes, 10/2015)</w:t>
      </w:r>
      <w:r w:rsidR="00E74094">
        <w:rPr>
          <w:rFonts w:cstheme="minorHAnsi"/>
        </w:rPr>
        <w:t>;</w:t>
      </w:r>
      <w:r w:rsidR="004A6B0C" w:rsidRPr="00941218">
        <w:rPr>
          <w:rFonts w:cstheme="minorHAnsi"/>
        </w:rPr>
        <w:t xml:space="preserve"> </w:t>
      </w:r>
      <w:r w:rsidR="0016019D" w:rsidRPr="0016019D">
        <w:rPr>
          <w:rFonts w:cstheme="minorHAnsi"/>
        </w:rPr>
        <w:t xml:space="preserve">Tseris, E. (2019). </w:t>
      </w:r>
      <w:hyperlink r:id="rId15" w:history="1">
        <w:r w:rsidR="0016019D" w:rsidRPr="00E74094">
          <w:rPr>
            <w:rStyle w:val="Hyperlink"/>
            <w:rFonts w:cstheme="minorHAnsi"/>
          </w:rPr>
          <w:t xml:space="preserve">Social work and women's mental health: </w:t>
        </w:r>
        <w:r w:rsidR="0016019D" w:rsidRPr="00E74094">
          <w:rPr>
            <w:rStyle w:val="Hyperlink"/>
            <w:rFonts w:cstheme="minorHAnsi"/>
          </w:rPr>
          <w:t>Does trauma theory provide a useful framework?</w:t>
        </w:r>
      </w:hyperlink>
      <w:r w:rsidR="0016019D" w:rsidRPr="00E74094">
        <w:rPr>
          <w:rFonts w:cstheme="minorHAnsi"/>
        </w:rPr>
        <w:t xml:space="preserve"> </w:t>
      </w:r>
      <w:r w:rsidR="0016019D" w:rsidRPr="0016019D">
        <w:rPr>
          <w:rFonts w:cstheme="minorHAnsi"/>
        </w:rPr>
        <w:t>British Journal of Social Work, 49(3), 686-703.</w:t>
      </w:r>
    </w:p>
  </w:endnote>
  <w:endnote w:id="12">
    <w:p w14:paraId="289212B8" w14:textId="624B05ED" w:rsidR="003E2542" w:rsidRPr="00941218" w:rsidRDefault="003E2542">
      <w:pPr>
        <w:pStyle w:val="EndnoteText"/>
        <w:rPr>
          <w:rFonts w:cstheme="minorHAnsi"/>
        </w:rPr>
      </w:pPr>
      <w:r w:rsidRPr="00941218">
        <w:rPr>
          <w:rStyle w:val="EndnoteReference"/>
          <w:rFonts w:cstheme="minorHAnsi"/>
        </w:rPr>
        <w:endnoteRef/>
      </w:r>
      <w:r w:rsidRPr="00941218">
        <w:rPr>
          <w:rFonts w:cstheme="minorHAnsi"/>
        </w:rPr>
        <w:t xml:space="preserve"> Quadara A (2015) </w:t>
      </w:r>
      <w:hyperlink r:id="rId16" w:history="1">
        <w:r w:rsidR="00E74094" w:rsidRPr="00E515F6">
          <w:rPr>
            <w:rStyle w:val="Hyperlink"/>
            <w:rFonts w:cstheme="minorHAnsi"/>
          </w:rPr>
          <w:t>Implementing trauma-informed systems of care in health settings: The WITH study: State of knowledge paper</w:t>
        </w:r>
      </w:hyperlink>
      <w:r w:rsidR="00E74094">
        <w:rPr>
          <w:rFonts w:cstheme="minorHAnsi"/>
        </w:rPr>
        <w:t>.</w:t>
      </w:r>
      <w:r w:rsidR="00E74094" w:rsidRPr="00941218">
        <w:rPr>
          <w:rFonts w:cstheme="minorHAnsi"/>
        </w:rPr>
        <w:t xml:space="preserve"> Australia’s National Research Organisation for Women’s Safety.</w:t>
      </w:r>
      <w:r w:rsidR="00E74094">
        <w:rPr>
          <w:rFonts w:cstheme="minorHAnsi"/>
        </w:rPr>
        <w:t xml:space="preserve"> Sydney – (</w:t>
      </w:r>
      <w:r w:rsidR="00E74094" w:rsidRPr="00941218">
        <w:rPr>
          <w:rFonts w:cstheme="minorHAnsi"/>
        </w:rPr>
        <w:t>ANROWS</w:t>
      </w:r>
      <w:r w:rsidR="00E74094">
        <w:rPr>
          <w:rFonts w:cstheme="minorHAnsi"/>
        </w:rPr>
        <w:t xml:space="preserve"> </w:t>
      </w:r>
      <w:r w:rsidR="00E74094" w:rsidRPr="00941218">
        <w:rPr>
          <w:rFonts w:cstheme="minorHAnsi"/>
        </w:rPr>
        <w:t>Landscapes, 10/2015).</w:t>
      </w:r>
    </w:p>
  </w:endnote>
  <w:endnote w:id="13">
    <w:p w14:paraId="420603E0" w14:textId="3F1D27AA" w:rsidR="00895FD6" w:rsidRPr="00941218" w:rsidRDefault="00895FD6" w:rsidP="002875BA">
      <w:pPr>
        <w:spacing w:after="0" w:line="240" w:lineRule="auto"/>
        <w:rPr>
          <w:rFonts w:cstheme="minorHAnsi"/>
          <w:sz w:val="20"/>
          <w:szCs w:val="20"/>
        </w:rPr>
      </w:pPr>
      <w:r w:rsidRPr="00941218">
        <w:rPr>
          <w:rStyle w:val="EndnoteReference"/>
          <w:rFonts w:cstheme="minorHAnsi"/>
          <w:sz w:val="20"/>
          <w:szCs w:val="20"/>
        </w:rPr>
        <w:endnoteRef/>
      </w:r>
      <w:r w:rsidRPr="00941218">
        <w:rPr>
          <w:rFonts w:cstheme="minorHAnsi"/>
          <w:sz w:val="20"/>
          <w:szCs w:val="20"/>
        </w:rPr>
        <w:t xml:space="preserve"> </w:t>
      </w:r>
      <w:r w:rsidRPr="00A0401D">
        <w:rPr>
          <w:rFonts w:cstheme="minorHAnsi"/>
          <w:sz w:val="20"/>
          <w:szCs w:val="20"/>
        </w:rPr>
        <w:t xml:space="preserve">Kezelman C and Stavropoulos P (2012) </w:t>
      </w:r>
      <w:hyperlink r:id="rId17" w:history="1">
        <w:r w:rsidRPr="00E74094">
          <w:rPr>
            <w:rStyle w:val="Hyperlink"/>
            <w:rFonts w:cstheme="minorHAnsi"/>
            <w:sz w:val="20"/>
            <w:szCs w:val="20"/>
          </w:rPr>
          <w:t>Practice Guidelines for Treatment of Complex Trauma and Trauma Informed Care and Service Delivery – Blue Knot Foundation</w:t>
        </w:r>
      </w:hyperlink>
      <w:r w:rsidR="00F8512F" w:rsidRPr="00A0401D">
        <w:rPr>
          <w:rFonts w:cstheme="minorHAnsi"/>
          <w:sz w:val="20"/>
          <w:szCs w:val="20"/>
        </w:rPr>
        <w:t xml:space="preserve">; </w:t>
      </w:r>
      <w:r w:rsidRPr="00A0401D">
        <w:rPr>
          <w:rFonts w:cstheme="minorHAnsi"/>
          <w:sz w:val="20"/>
          <w:szCs w:val="20"/>
        </w:rPr>
        <w:t xml:space="preserve">Mental Health Coordinating Council (MHCC) (2013) </w:t>
      </w:r>
      <w:hyperlink r:id="rId18" w:history="1">
        <w:r w:rsidRPr="00E74094">
          <w:rPr>
            <w:rStyle w:val="Hyperlink"/>
            <w:rFonts w:cstheme="minorHAnsi"/>
            <w:sz w:val="20"/>
            <w:szCs w:val="20"/>
          </w:rPr>
          <w:t>Trauma Informed Care and Practice: Towards a Cultural Shift in Policy Reform across Mental Health and Human Services in Australia – A National Strategic Direction</w:t>
        </w:r>
      </w:hyperlink>
      <w:r w:rsidR="00F8512F" w:rsidRPr="00A0401D">
        <w:rPr>
          <w:rFonts w:cstheme="minorHAnsi"/>
          <w:sz w:val="20"/>
          <w:szCs w:val="20"/>
        </w:rPr>
        <w:t>;</w:t>
      </w:r>
      <w:r w:rsidRPr="00A0401D">
        <w:rPr>
          <w:rFonts w:cstheme="minorHAnsi"/>
          <w:sz w:val="20"/>
          <w:szCs w:val="20"/>
        </w:rPr>
        <w:t xml:space="preserve"> Williams J</w:t>
      </w:r>
      <w:r w:rsidR="00F8512F" w:rsidRPr="00A0401D">
        <w:rPr>
          <w:rFonts w:cstheme="minorHAnsi"/>
          <w:sz w:val="20"/>
          <w:szCs w:val="20"/>
        </w:rPr>
        <w:t xml:space="preserve"> et al</w:t>
      </w:r>
      <w:r w:rsidRPr="00A0401D">
        <w:rPr>
          <w:rFonts w:cstheme="minorHAnsi"/>
          <w:sz w:val="20"/>
          <w:szCs w:val="20"/>
        </w:rPr>
        <w:t xml:space="preserve"> (2001) </w:t>
      </w:r>
      <w:hyperlink r:id="rId19" w:history="1">
        <w:r w:rsidRPr="00E74094">
          <w:rPr>
            <w:rStyle w:val="Hyperlink"/>
            <w:rFonts w:cstheme="minorHAnsi"/>
            <w:sz w:val="20"/>
            <w:szCs w:val="20"/>
          </w:rPr>
          <w:t>Mental Health Services for “Difficult” Women: Reflections on Some Recent Developments</w:t>
        </w:r>
      </w:hyperlink>
      <w:r w:rsidR="00E74094">
        <w:rPr>
          <w:rFonts w:cstheme="minorHAnsi"/>
          <w:sz w:val="20"/>
          <w:szCs w:val="20"/>
        </w:rPr>
        <w:t>.</w:t>
      </w:r>
      <w:r w:rsidRPr="00A0401D">
        <w:rPr>
          <w:rFonts w:cstheme="minorHAnsi"/>
          <w:sz w:val="20"/>
          <w:szCs w:val="20"/>
        </w:rPr>
        <w:t xml:space="preserve"> </w:t>
      </w:r>
      <w:r w:rsidRPr="00E74094">
        <w:rPr>
          <w:rFonts w:cstheme="minorHAnsi"/>
          <w:sz w:val="20"/>
          <w:szCs w:val="20"/>
        </w:rPr>
        <w:t>Feminist Review</w:t>
      </w:r>
      <w:r w:rsidRPr="00A0401D">
        <w:rPr>
          <w:rFonts w:cstheme="minorHAnsi"/>
          <w:sz w:val="20"/>
          <w:szCs w:val="20"/>
        </w:rPr>
        <w:t>, 68(1): 89–104</w:t>
      </w:r>
      <w:r w:rsidR="00F8512F" w:rsidRPr="00A0401D">
        <w:rPr>
          <w:rFonts w:cstheme="minorHAnsi"/>
          <w:sz w:val="20"/>
          <w:szCs w:val="20"/>
        </w:rPr>
        <w:t>.</w:t>
      </w:r>
    </w:p>
  </w:endnote>
  <w:endnote w:id="14">
    <w:p w14:paraId="27E6CDA4" w14:textId="0D33243D" w:rsidR="000F0CEE" w:rsidRPr="00941218" w:rsidRDefault="000F0CEE" w:rsidP="000F0CEE">
      <w:pPr>
        <w:pStyle w:val="EndnoteText"/>
        <w:rPr>
          <w:rFonts w:cstheme="minorHAnsi"/>
        </w:rPr>
      </w:pPr>
      <w:r w:rsidRPr="00941218">
        <w:rPr>
          <w:rStyle w:val="EndnoteReference"/>
          <w:rFonts w:cstheme="minorHAnsi"/>
        </w:rPr>
        <w:endnoteRef/>
      </w:r>
      <w:r w:rsidRPr="00941218">
        <w:rPr>
          <w:rFonts w:cstheme="minorHAnsi"/>
        </w:rPr>
        <w:t xml:space="preserve"> Hegarty K et al (2017) </w:t>
      </w:r>
      <w:hyperlink r:id="rId20" w:history="1">
        <w:r w:rsidRPr="00941218">
          <w:rPr>
            <w:rStyle w:val="Hyperlink"/>
            <w:rFonts w:cstheme="minorHAnsi"/>
          </w:rPr>
          <w:t>Women’s Input into a Trauma-informed systems model of care in Health settings: The WITH study – Final report</w:t>
        </w:r>
      </w:hyperlink>
      <w:r w:rsidRPr="00941218">
        <w:rPr>
          <w:rFonts w:cstheme="minorHAnsi"/>
        </w:rPr>
        <w:t xml:space="preserve"> </w:t>
      </w:r>
      <w:r w:rsidR="00E74094" w:rsidRPr="00941218">
        <w:rPr>
          <w:rFonts w:cstheme="minorHAnsi"/>
        </w:rPr>
        <w:t>Australia’s National Research Organisation for Women’s Safety.</w:t>
      </w:r>
      <w:r w:rsidR="00E74094">
        <w:rPr>
          <w:rFonts w:cstheme="minorHAnsi"/>
        </w:rPr>
        <w:t xml:space="preserve"> Sydney. </w:t>
      </w:r>
      <w:r w:rsidRPr="00941218">
        <w:rPr>
          <w:rFonts w:cstheme="minorHAnsi"/>
        </w:rPr>
        <w:t>p 3-5.</w:t>
      </w:r>
    </w:p>
  </w:endnote>
  <w:endnote w:id="15">
    <w:p w14:paraId="64FE166D" w14:textId="7E01EA0F" w:rsidR="000F0CEE" w:rsidRPr="00941218" w:rsidRDefault="000F0CEE">
      <w:pPr>
        <w:pStyle w:val="EndnoteText"/>
        <w:rPr>
          <w:rFonts w:cstheme="minorHAnsi"/>
        </w:rPr>
      </w:pPr>
      <w:r w:rsidRPr="00941218">
        <w:rPr>
          <w:rStyle w:val="EndnoteReference"/>
          <w:rFonts w:cstheme="minorHAnsi"/>
        </w:rPr>
        <w:endnoteRef/>
      </w:r>
      <w:r w:rsidRPr="00941218">
        <w:rPr>
          <w:rFonts w:cstheme="minorHAnsi"/>
        </w:rPr>
        <w:t xml:space="preserve"> Hegarty K et al (2017) </w:t>
      </w:r>
      <w:hyperlink r:id="rId21" w:history="1">
        <w:r w:rsidRPr="00941218">
          <w:rPr>
            <w:rStyle w:val="Hyperlink"/>
            <w:rFonts w:cstheme="minorHAnsi"/>
          </w:rPr>
          <w:t>Women’s Input into a Trauma-informed systems model of care in Health settings: The WITH study – Final report</w:t>
        </w:r>
      </w:hyperlink>
      <w:r w:rsidRPr="00941218">
        <w:rPr>
          <w:rFonts w:cstheme="minorHAnsi"/>
        </w:rPr>
        <w:t xml:space="preserve"> </w:t>
      </w:r>
      <w:r w:rsidR="00E74094" w:rsidRPr="00941218">
        <w:rPr>
          <w:rFonts w:cstheme="minorHAnsi"/>
        </w:rPr>
        <w:t>Australia’s National Research Organisation for Women’s Safety.</w:t>
      </w:r>
      <w:r w:rsidR="00E74094">
        <w:rPr>
          <w:rFonts w:cstheme="minorHAnsi"/>
        </w:rPr>
        <w:t xml:space="preserve"> Sydney.</w:t>
      </w:r>
      <w:r w:rsidRPr="00941218">
        <w:rPr>
          <w:rFonts w:cstheme="minorHAnsi"/>
        </w:rPr>
        <w:t xml:space="preserve"> p 3-5.</w:t>
      </w:r>
    </w:p>
  </w:endnote>
  <w:endnote w:id="16">
    <w:p w14:paraId="659AB0A8" w14:textId="69D63795" w:rsidR="000F0CEE" w:rsidRPr="00941218" w:rsidRDefault="000F0CEE" w:rsidP="000F0CEE">
      <w:pPr>
        <w:pStyle w:val="FootnoteText"/>
        <w:rPr>
          <w:rFonts w:cstheme="minorHAnsi"/>
        </w:rPr>
      </w:pPr>
      <w:r w:rsidRPr="00941218">
        <w:rPr>
          <w:rStyle w:val="EndnoteReference"/>
          <w:rFonts w:cstheme="minorHAnsi"/>
        </w:rPr>
        <w:endnoteRef/>
      </w:r>
      <w:r w:rsidRPr="00941218">
        <w:rPr>
          <w:rFonts w:cstheme="minorHAnsi"/>
        </w:rPr>
        <w:t xml:space="preserve"> See, for example, </w:t>
      </w:r>
      <w:bookmarkStart w:id="4" w:name="_Hlk78649538"/>
      <w:r w:rsidRPr="00941218">
        <w:rPr>
          <w:rFonts w:cstheme="minorHAnsi"/>
        </w:rPr>
        <w:t xml:space="preserve">Mental Health Complaints Commissioner (2018) </w:t>
      </w:r>
      <w:hyperlink r:id="rId22" w:history="1">
        <w:r w:rsidRPr="00941218">
          <w:rPr>
            <w:rStyle w:val="Hyperlink"/>
            <w:rFonts w:cstheme="minorHAnsi"/>
          </w:rPr>
          <w:t>The right to be safe: Ensuring sexual safety in mental health inpatient units – sexual safety project report</w:t>
        </w:r>
      </w:hyperlink>
      <w:r w:rsidRPr="00941218">
        <w:rPr>
          <w:rFonts w:cstheme="minorHAnsi"/>
        </w:rPr>
        <w:t>.</w:t>
      </w:r>
      <w:bookmarkEnd w:id="4"/>
    </w:p>
  </w:endnote>
  <w:endnote w:id="17">
    <w:p w14:paraId="10F678E1" w14:textId="3CFB2261" w:rsidR="00413070" w:rsidRPr="00941218" w:rsidRDefault="00413070">
      <w:pPr>
        <w:pStyle w:val="EndnoteText"/>
        <w:rPr>
          <w:rFonts w:cstheme="minorHAnsi"/>
        </w:rPr>
      </w:pPr>
      <w:r w:rsidRPr="00941218">
        <w:rPr>
          <w:rStyle w:val="EndnoteReference"/>
          <w:rFonts w:cstheme="minorHAnsi"/>
        </w:rPr>
        <w:endnoteRef/>
      </w:r>
      <w:r w:rsidRPr="00941218">
        <w:rPr>
          <w:rFonts w:cstheme="minorHAnsi"/>
        </w:rPr>
        <w:t xml:space="preserve"> </w:t>
      </w:r>
      <w:r w:rsidR="00E74094" w:rsidRPr="003570AD">
        <w:t xml:space="preserve">Women's Mental Health Alliance (2020) </w:t>
      </w:r>
      <w:hyperlink r:id="rId23" w:history="1">
        <w:r w:rsidR="00E74094" w:rsidRPr="003570AD">
          <w:rPr>
            <w:rStyle w:val="Hyperlink"/>
          </w:rPr>
          <w:t>Additional evidence on gender and mental health for the Royal Commission into Victoria’s mental health system</w:t>
        </w:r>
      </w:hyperlink>
      <w:r w:rsidR="00E74094" w:rsidRPr="003570AD">
        <w:t>. Women's Health Victoria. Melbourne.</w:t>
      </w:r>
      <w:r w:rsidRPr="00941218">
        <w:rPr>
          <w:rFonts w:cstheme="minorHAnsi"/>
        </w:rPr>
        <w:t xml:space="preserve"> </w:t>
      </w:r>
      <w:r w:rsidR="00E74094">
        <w:rPr>
          <w:rFonts w:cstheme="minorHAnsi"/>
        </w:rPr>
        <w:t>p</w:t>
      </w:r>
      <w:r w:rsidRPr="00941218">
        <w:rPr>
          <w:rFonts w:cstheme="minorHAnsi"/>
        </w:rPr>
        <w:t>p 11-13.</w:t>
      </w:r>
    </w:p>
  </w:endnote>
  <w:endnote w:id="18">
    <w:p w14:paraId="7BCF9192" w14:textId="18A4019C" w:rsidR="00895FD6" w:rsidRPr="00941218" w:rsidRDefault="00895FD6" w:rsidP="002875BA">
      <w:pPr>
        <w:pStyle w:val="EndnoteText"/>
        <w:rPr>
          <w:rFonts w:cstheme="minorHAnsi"/>
        </w:rPr>
      </w:pPr>
      <w:r w:rsidRPr="00941218">
        <w:rPr>
          <w:rStyle w:val="EndnoteReference"/>
          <w:rFonts w:cstheme="minorHAnsi"/>
        </w:rPr>
        <w:endnoteRef/>
      </w:r>
      <w:r w:rsidRPr="00941218">
        <w:rPr>
          <w:rFonts w:cstheme="minorHAnsi"/>
        </w:rPr>
        <w:t xml:space="preserve"> V</w:t>
      </w:r>
      <w:r w:rsidR="006E6D50">
        <w:rPr>
          <w:rFonts w:cstheme="minorHAnsi"/>
        </w:rPr>
        <w:t xml:space="preserve">ictorian </w:t>
      </w:r>
      <w:r w:rsidRPr="00941218">
        <w:rPr>
          <w:rFonts w:cstheme="minorHAnsi"/>
        </w:rPr>
        <w:t>M</w:t>
      </w:r>
      <w:r w:rsidR="006E6D50">
        <w:rPr>
          <w:rFonts w:cstheme="minorHAnsi"/>
        </w:rPr>
        <w:t xml:space="preserve">ental </w:t>
      </w:r>
      <w:r w:rsidRPr="00941218">
        <w:rPr>
          <w:rFonts w:cstheme="minorHAnsi"/>
        </w:rPr>
        <w:t>I</w:t>
      </w:r>
      <w:r w:rsidR="006E6D50">
        <w:rPr>
          <w:rFonts w:cstheme="minorHAnsi"/>
        </w:rPr>
        <w:t xml:space="preserve">llness </w:t>
      </w:r>
      <w:r w:rsidRPr="00941218">
        <w:rPr>
          <w:rFonts w:cstheme="minorHAnsi"/>
        </w:rPr>
        <w:t>A</w:t>
      </w:r>
      <w:r w:rsidR="006E6D50">
        <w:rPr>
          <w:rFonts w:cstheme="minorHAnsi"/>
        </w:rPr>
        <w:t xml:space="preserve">wareness </w:t>
      </w:r>
      <w:r w:rsidRPr="00941218">
        <w:rPr>
          <w:rFonts w:cstheme="minorHAnsi"/>
        </w:rPr>
        <w:t>C</w:t>
      </w:r>
      <w:r w:rsidR="006E6D50">
        <w:rPr>
          <w:rFonts w:cstheme="minorHAnsi"/>
        </w:rPr>
        <w:t>ouncil</w:t>
      </w:r>
      <w:r w:rsidRPr="00941218">
        <w:rPr>
          <w:rFonts w:cstheme="minorHAnsi"/>
        </w:rPr>
        <w:t xml:space="preserve"> (2021) </w:t>
      </w:r>
      <w:hyperlink r:id="rId24" w:history="1">
        <w:r w:rsidRPr="00941218">
          <w:rPr>
            <w:rStyle w:val="Hyperlink"/>
            <w:rFonts w:cstheme="minorHAnsi"/>
          </w:rPr>
          <w:t>Summary response to the Royal Commission Report</w:t>
        </w:r>
      </w:hyperlink>
      <w:r w:rsidRPr="00941218">
        <w:rPr>
          <w:rFonts w:cstheme="minorHAnsi"/>
        </w:rPr>
        <w:t>.</w:t>
      </w:r>
    </w:p>
  </w:endnote>
  <w:endnote w:id="19">
    <w:p w14:paraId="44B286DD" w14:textId="7A57A934" w:rsidR="00EF7D45" w:rsidRPr="008A4B7D" w:rsidRDefault="00EF7D45" w:rsidP="00EF7D45">
      <w:pPr>
        <w:pStyle w:val="EndnoteText"/>
        <w:rPr>
          <w:highlight w:val="yellow"/>
        </w:rPr>
      </w:pPr>
      <w:r>
        <w:rPr>
          <w:rStyle w:val="EndnoteReference"/>
        </w:rPr>
        <w:endnoteRef/>
      </w:r>
      <w:r>
        <w:t xml:space="preserve"> </w:t>
      </w:r>
      <w:r w:rsidR="0016019D" w:rsidRPr="0016019D">
        <w:t xml:space="preserve">Duggan M (2016) </w:t>
      </w:r>
      <w:hyperlink r:id="rId25" w:history="1">
        <w:r w:rsidR="0016019D" w:rsidRPr="0016019D">
          <w:rPr>
            <w:rStyle w:val="Hyperlink"/>
          </w:rPr>
          <w:t>Investing in women’s mental health: strengthening the foundations for women, families and the Australian economy</w:t>
        </w:r>
      </w:hyperlink>
      <w:r w:rsidR="00E74094">
        <w:t xml:space="preserve">. </w:t>
      </w:r>
      <w:r w:rsidR="00E74094" w:rsidRPr="00E77757">
        <w:rPr>
          <w:rFonts w:cstheme="minorHAnsi"/>
        </w:rPr>
        <w:t>Australian Health Policy Collaboration, Melbourne – (AHPC Issues Paper; 2016-02)</w:t>
      </w:r>
      <w:r w:rsidR="00E74094">
        <w:rPr>
          <w:rFonts w:cstheme="minorHAnsi"/>
        </w:rPr>
        <w:t>.</w:t>
      </w:r>
    </w:p>
  </w:endnote>
  <w:endnote w:id="20">
    <w:p w14:paraId="532FCD41" w14:textId="47138F4A" w:rsidR="00941218" w:rsidRPr="00941218" w:rsidRDefault="00941218">
      <w:pPr>
        <w:pStyle w:val="EndnoteText"/>
        <w:rPr>
          <w:rFonts w:cstheme="minorHAnsi"/>
        </w:rPr>
      </w:pPr>
      <w:r w:rsidRPr="00871F4B">
        <w:rPr>
          <w:rStyle w:val="EndnoteReference"/>
          <w:rFonts w:cstheme="minorHAnsi"/>
        </w:rPr>
        <w:endnoteRef/>
      </w:r>
      <w:r w:rsidRPr="00871F4B">
        <w:rPr>
          <w:rFonts w:cstheme="minorHAnsi"/>
        </w:rPr>
        <w:t xml:space="preserve"> </w:t>
      </w:r>
      <w:r w:rsidR="00871F4B" w:rsidRPr="00871F4B">
        <w:rPr>
          <w:rFonts w:cstheme="minorHAnsi"/>
        </w:rPr>
        <w:t xml:space="preserve">Tseris E (2016) </w:t>
      </w:r>
      <w:r w:rsidR="00E74094">
        <w:rPr>
          <w:rFonts w:cstheme="minorHAnsi"/>
        </w:rPr>
        <w:t>‘</w:t>
      </w:r>
      <w:r w:rsidR="00871F4B" w:rsidRPr="00871F4B">
        <w:rPr>
          <w:rFonts w:cstheme="minorHAnsi"/>
        </w:rPr>
        <w:t>Thinking Critically About 'Mental Health Issues' Affecting Women During/After Violence</w:t>
      </w:r>
      <w:r w:rsidR="00E74094">
        <w:rPr>
          <w:rFonts w:cstheme="minorHAnsi"/>
        </w:rPr>
        <w:t>’</w:t>
      </w:r>
      <w:r w:rsidR="00871F4B" w:rsidRPr="00871F4B">
        <w:rPr>
          <w:rFonts w:cstheme="minorHAnsi"/>
        </w:rPr>
        <w:t>. Social Alternatives, 35(4), 37-42.</w:t>
      </w:r>
    </w:p>
  </w:endnote>
  <w:endnote w:id="21">
    <w:p w14:paraId="4944915A" w14:textId="42B67D01" w:rsidR="00EF7D45" w:rsidRDefault="00EF7D45">
      <w:pPr>
        <w:pStyle w:val="EndnoteText"/>
      </w:pPr>
      <w:r>
        <w:rPr>
          <w:rStyle w:val="EndnoteReference"/>
        </w:rPr>
        <w:endnoteRef/>
      </w:r>
      <w:r>
        <w:t xml:space="preserve"> For more information, please see Women’s Health Victoria (2019)</w:t>
      </w:r>
      <w:r w:rsidR="0047498F">
        <w:t xml:space="preserve"> </w:t>
      </w:r>
      <w:hyperlink r:id="rId26" w:history="1">
        <w:r w:rsidR="0047498F" w:rsidRPr="0047498F">
          <w:rPr>
            <w:rStyle w:val="Hyperlink"/>
          </w:rPr>
          <w:t>Submission to Royal Commission into Victoria’s Mental Health System</w:t>
        </w:r>
      </w:hyperlink>
      <w:r w:rsidR="0047498F">
        <w:t>,</w:t>
      </w:r>
      <w:r>
        <w:t xml:space="preserve"> </w:t>
      </w:r>
      <w:r w:rsidR="0047498F">
        <w:t>pp 20-22.</w:t>
      </w:r>
    </w:p>
  </w:endnote>
  <w:endnote w:id="22">
    <w:p w14:paraId="475030B8" w14:textId="02A6F2C9" w:rsidR="00895FD6" w:rsidRPr="00941218" w:rsidRDefault="00895FD6" w:rsidP="00941218">
      <w:pPr>
        <w:pStyle w:val="EndnoteText"/>
        <w:tabs>
          <w:tab w:val="left" w:pos="142"/>
          <w:tab w:val="left" w:pos="1843"/>
        </w:tabs>
        <w:ind w:left="142" w:hanging="142"/>
        <w:rPr>
          <w:rFonts w:cstheme="minorHAnsi"/>
        </w:rPr>
      </w:pPr>
      <w:r w:rsidRPr="00941218">
        <w:rPr>
          <w:rStyle w:val="EndnoteReference"/>
          <w:rFonts w:cstheme="minorHAnsi"/>
        </w:rPr>
        <w:endnoteRef/>
      </w:r>
      <w:r w:rsidRPr="00941218">
        <w:rPr>
          <w:rFonts w:cstheme="minorHAnsi"/>
        </w:rPr>
        <w:t xml:space="preserve"> </w:t>
      </w:r>
      <w:r w:rsidR="00941218" w:rsidRPr="00941218">
        <w:rPr>
          <w:rFonts w:cstheme="minorHAnsi"/>
        </w:rPr>
        <w:t xml:space="preserve">O’Dwyer </w:t>
      </w:r>
      <w:r w:rsidR="00E74094">
        <w:rPr>
          <w:rFonts w:cstheme="minorHAnsi"/>
        </w:rPr>
        <w:t>C</w:t>
      </w:r>
      <w:r w:rsidR="00941218" w:rsidRPr="00941218">
        <w:rPr>
          <w:rFonts w:cstheme="minorHAnsi"/>
        </w:rPr>
        <w:t xml:space="preserve"> et al (2019) </w:t>
      </w:r>
      <w:hyperlink r:id="rId27" w:history="1">
        <w:r w:rsidR="00941218" w:rsidRPr="00941218">
          <w:rPr>
            <w:rStyle w:val="Hyperlink"/>
            <w:rFonts w:cstheme="minorHAnsi"/>
            <w:color w:val="0563C1"/>
          </w:rPr>
          <w:t>Health professionals’ experiences of providing care for women survivors of sexual violence in psychiatric inpatient units</w:t>
        </w:r>
      </w:hyperlink>
      <w:r w:rsidR="00941218" w:rsidRPr="00941218">
        <w:rPr>
          <w:rFonts w:cstheme="minorHAnsi"/>
        </w:rPr>
        <w:t xml:space="preserve"> </w:t>
      </w:r>
      <w:r w:rsidR="00941218" w:rsidRPr="00E74094">
        <w:rPr>
          <w:rFonts w:cstheme="minorHAnsi"/>
        </w:rPr>
        <w:t>BMC Health Services Research</w:t>
      </w:r>
      <w:r w:rsidR="00941218" w:rsidRPr="00941218">
        <w:rPr>
          <w:rFonts w:cstheme="minorHAnsi"/>
        </w:rPr>
        <w:t xml:space="preserve"> 19:839.</w:t>
      </w:r>
    </w:p>
  </w:endnote>
  <w:endnote w:id="23">
    <w:p w14:paraId="458F5467" w14:textId="2B782B0E" w:rsidR="000575E5" w:rsidRDefault="000575E5">
      <w:pPr>
        <w:pStyle w:val="EndnoteText"/>
      </w:pPr>
      <w:r>
        <w:rPr>
          <w:rStyle w:val="EndnoteReference"/>
        </w:rPr>
        <w:endnoteRef/>
      </w:r>
      <w:r>
        <w:t xml:space="preserve"> </w:t>
      </w:r>
      <w:r w:rsidR="003570AD">
        <w:t xml:space="preserve">Royal Commission into Victoria’s Mental Health System (2021), </w:t>
      </w:r>
      <w:hyperlink r:id="rId28" w:history="1">
        <w:r w:rsidR="003570AD" w:rsidRPr="00E74094">
          <w:rPr>
            <w:rStyle w:val="Hyperlink"/>
          </w:rPr>
          <w:t>Final Report</w:t>
        </w:r>
      </w:hyperlink>
      <w:r w:rsidR="003570AD">
        <w:t xml:space="preserve">, </w:t>
      </w:r>
      <w:r w:rsidR="003570AD" w:rsidRPr="00496339">
        <w:rPr>
          <w:rStyle w:val="A10"/>
          <w:sz w:val="18"/>
          <w:szCs w:val="19"/>
        </w:rPr>
        <w:t>Vol</w:t>
      </w:r>
      <w:r w:rsidR="003570AD">
        <w:rPr>
          <w:rStyle w:val="A10"/>
          <w:sz w:val="18"/>
          <w:szCs w:val="19"/>
        </w:rPr>
        <w:t>ume</w:t>
      </w:r>
      <w:r w:rsidR="003570AD" w:rsidRPr="00496339">
        <w:rPr>
          <w:rStyle w:val="A10"/>
          <w:sz w:val="18"/>
          <w:szCs w:val="19"/>
        </w:rPr>
        <w:t xml:space="preserve"> 4, p </w:t>
      </w:r>
      <w:r w:rsidR="00E515F6">
        <w:rPr>
          <w:rStyle w:val="A10"/>
          <w:sz w:val="18"/>
          <w:szCs w:val="19"/>
        </w:rPr>
        <w:t>463.</w:t>
      </w:r>
    </w:p>
  </w:endnote>
  <w:endnote w:id="24">
    <w:p w14:paraId="148675E9" w14:textId="5222F9B3" w:rsidR="000575E5" w:rsidRDefault="000575E5">
      <w:pPr>
        <w:pStyle w:val="EndnoteText"/>
      </w:pPr>
      <w:r>
        <w:rPr>
          <w:rStyle w:val="EndnoteReference"/>
        </w:rPr>
        <w:endnoteRef/>
      </w:r>
      <w:r>
        <w:t xml:space="preserve"> </w:t>
      </w:r>
      <w:r w:rsidR="00E515F6">
        <w:t xml:space="preserve">Royal Commission into Victoria’s Mental Health System (2021), </w:t>
      </w:r>
      <w:hyperlink r:id="rId29" w:history="1">
        <w:r w:rsidR="00E515F6" w:rsidRPr="00E74094">
          <w:rPr>
            <w:rStyle w:val="Hyperlink"/>
          </w:rPr>
          <w:t>Final Report</w:t>
        </w:r>
      </w:hyperlink>
      <w:r w:rsidR="00E515F6">
        <w:t xml:space="preserve">, </w:t>
      </w:r>
      <w:r w:rsidR="00E515F6" w:rsidRPr="00496339">
        <w:rPr>
          <w:rStyle w:val="A10"/>
          <w:sz w:val="18"/>
          <w:szCs w:val="19"/>
        </w:rPr>
        <w:t>Vol</w:t>
      </w:r>
      <w:r w:rsidR="00E515F6">
        <w:rPr>
          <w:rStyle w:val="A10"/>
          <w:sz w:val="18"/>
          <w:szCs w:val="19"/>
        </w:rPr>
        <w:t>ume</w:t>
      </w:r>
      <w:r w:rsidR="00E515F6" w:rsidRPr="00496339">
        <w:rPr>
          <w:rStyle w:val="A10"/>
          <w:sz w:val="18"/>
          <w:szCs w:val="19"/>
        </w:rPr>
        <w:t xml:space="preserve"> 4, p </w:t>
      </w:r>
      <w:r w:rsidR="00E515F6">
        <w:rPr>
          <w:rStyle w:val="A10"/>
          <w:sz w:val="18"/>
          <w:szCs w:val="19"/>
        </w:rPr>
        <w:t>463.</w:t>
      </w:r>
    </w:p>
  </w:endnote>
  <w:endnote w:id="25">
    <w:p w14:paraId="6A69D81C" w14:textId="6A217D1C" w:rsidR="00895FD6" w:rsidRPr="00941218" w:rsidRDefault="00895FD6" w:rsidP="002875BA">
      <w:pPr>
        <w:pStyle w:val="EndnoteText"/>
        <w:rPr>
          <w:rFonts w:cstheme="minorHAnsi"/>
        </w:rPr>
      </w:pPr>
      <w:r w:rsidRPr="00941218">
        <w:rPr>
          <w:rStyle w:val="EndnoteReference"/>
          <w:rFonts w:cstheme="minorHAnsi"/>
        </w:rPr>
        <w:endnoteRef/>
      </w:r>
      <w:r w:rsidRPr="00941218">
        <w:rPr>
          <w:rFonts w:cstheme="minorHAnsi"/>
        </w:rPr>
        <w:t xml:space="preserve"> </w:t>
      </w:r>
      <w:r w:rsidR="00B75EB4">
        <w:rPr>
          <w:rFonts w:cstheme="minorHAnsi"/>
        </w:rPr>
        <w:t xml:space="preserve">Department of Health (UK) (2003). </w:t>
      </w:r>
      <w:hyperlink r:id="rId30" w:history="1">
        <w:r w:rsidRPr="00B75EB4">
          <w:rPr>
            <w:rStyle w:val="Hyperlink"/>
            <w:rFonts w:cstheme="minorHAnsi"/>
          </w:rPr>
          <w:t>Mainstreaming Gender and Women’s Mental Health</w:t>
        </w:r>
        <w:r w:rsidR="00B75EB4">
          <w:rPr>
            <w:rStyle w:val="Hyperlink"/>
            <w:rFonts w:cstheme="minorHAnsi"/>
          </w:rPr>
          <w:t>:</w:t>
        </w:r>
        <w:r w:rsidRPr="00B75EB4">
          <w:rPr>
            <w:rStyle w:val="Hyperlink"/>
            <w:rFonts w:cstheme="minorHAnsi"/>
          </w:rPr>
          <w:t xml:space="preserve"> Implementation Guidance</w:t>
        </w:r>
      </w:hyperlink>
      <w:r w:rsidRPr="00941218">
        <w:rPr>
          <w:rFonts w:cstheme="minorHAnsi"/>
        </w:rPr>
        <w:t>, Department of Health, Mental Health, Health &amp; Social Care Standards &amp; Quality Group.</w:t>
      </w:r>
    </w:p>
  </w:endnote>
  <w:endnote w:id="26">
    <w:p w14:paraId="5051361A" w14:textId="3B2C1EF7" w:rsidR="00A86B2F" w:rsidRPr="00871F4B" w:rsidRDefault="00A86B2F" w:rsidP="00E74094">
      <w:pPr>
        <w:pStyle w:val="MHRCbody"/>
        <w:spacing w:after="0"/>
        <w:rPr>
          <w:rFonts w:asciiTheme="minorHAnsi" w:hAnsiTheme="minorHAnsi" w:cstheme="minorHAnsi"/>
        </w:rPr>
      </w:pPr>
      <w:r w:rsidRPr="00E74094">
        <w:rPr>
          <w:rStyle w:val="EndnoteReference"/>
          <w:rFonts w:asciiTheme="minorHAnsi" w:hAnsiTheme="minorHAnsi" w:cstheme="minorHAnsi"/>
        </w:rPr>
        <w:endnoteRef/>
      </w:r>
      <w:r>
        <w:t xml:space="preserve"> </w:t>
      </w:r>
      <w:r w:rsidR="00871F4B" w:rsidRPr="00871F4B">
        <w:rPr>
          <w:rFonts w:asciiTheme="minorHAnsi" w:hAnsiTheme="minorHAnsi" w:cstheme="minorHAnsi"/>
        </w:rPr>
        <w:t xml:space="preserve">Royal Commission into Victoria’s Mental Health System, </w:t>
      </w:r>
      <w:hyperlink r:id="rId31" w:history="1">
        <w:r w:rsidR="00871F4B" w:rsidRPr="00871F4B">
          <w:rPr>
            <w:rStyle w:val="Hyperlink"/>
            <w:rFonts w:asciiTheme="minorHAnsi" w:hAnsiTheme="minorHAnsi" w:cstheme="minorHAnsi"/>
          </w:rPr>
          <w:t>Interim Report</w:t>
        </w:r>
      </w:hyperlink>
      <w:r w:rsidR="00CA2EDA">
        <w:rPr>
          <w:rFonts w:asciiTheme="minorHAnsi" w:hAnsiTheme="minorHAnsi" w:cstheme="minorHAnsi"/>
        </w:rPr>
        <w:t>, p 536.</w:t>
      </w:r>
    </w:p>
  </w:endnote>
  <w:endnote w:id="27">
    <w:p w14:paraId="284E89F5" w14:textId="47828C98" w:rsidR="00537ACE" w:rsidRDefault="00537ACE">
      <w:pPr>
        <w:pStyle w:val="EndnoteText"/>
      </w:pPr>
      <w:r>
        <w:rPr>
          <w:rStyle w:val="EndnoteReference"/>
        </w:rPr>
        <w:endnoteRef/>
      </w:r>
      <w:r>
        <w:t xml:space="preserve"> </w:t>
      </w:r>
      <w:r w:rsidR="00871F4B" w:rsidRPr="00373D01">
        <w:t xml:space="preserve">Tseris E (2019) </w:t>
      </w:r>
      <w:r w:rsidR="00CA2EDA">
        <w:t>‘</w:t>
      </w:r>
      <w:r w:rsidR="00871F4B" w:rsidRPr="00373D01">
        <w:t>Accepting My Illness? Problematising the Claims of Mental Health Anti-Stigma Efforts</w:t>
      </w:r>
      <w:r w:rsidR="00CA2EDA">
        <w:t>’</w:t>
      </w:r>
      <w:r w:rsidR="00871F4B" w:rsidRPr="00373D01">
        <w:t xml:space="preserve">. In D. Baines, B. Bennett, S. Goodwin, M. </w:t>
      </w:r>
      <w:r w:rsidR="00871F4B" w:rsidRPr="00373D01">
        <w:t>Rawsthorne (Eds.), Working Across Difference: Social Work, Social Policy and Social Justice, pp. 155-169. London: Red Globe Press.</w:t>
      </w:r>
    </w:p>
  </w:endnote>
  <w:endnote w:id="28">
    <w:p w14:paraId="3AA017A9" w14:textId="1759B065" w:rsidR="003570AD" w:rsidRDefault="003570AD" w:rsidP="003570AD">
      <w:pPr>
        <w:pStyle w:val="EndnoteText"/>
      </w:pPr>
      <w:r>
        <w:rPr>
          <w:rStyle w:val="EndnoteReference"/>
        </w:rPr>
        <w:endnoteRef/>
      </w:r>
      <w:r>
        <w:t xml:space="preserve"> </w:t>
      </w:r>
      <w:r w:rsidRPr="00373D01">
        <w:t xml:space="preserve">Tseris E (2019). </w:t>
      </w:r>
      <w:r w:rsidR="00CA2EDA">
        <w:t>‘</w:t>
      </w:r>
      <w:r w:rsidRPr="00373D01">
        <w:t>Accepting My Illness? Problematising the Claims of Mental Health Anti-Stigma Efforts</w:t>
      </w:r>
      <w:r w:rsidR="00CA2EDA">
        <w:t>’</w:t>
      </w:r>
      <w:r w:rsidRPr="00373D01">
        <w:t xml:space="preserve">. In D. Baines, B. Bennett, S. Goodwin, M. </w:t>
      </w:r>
      <w:r w:rsidRPr="00373D01">
        <w:t>Rawsthorne (Eds.), Working Across Difference: Social Work, Social Policy and Social Justice, pp. 155-169. London: Red Globe Press.</w:t>
      </w:r>
    </w:p>
  </w:endnote>
  <w:endnote w:id="29">
    <w:p w14:paraId="1DC2345D" w14:textId="3B7BCDB3" w:rsidR="006E6D50" w:rsidRDefault="006E6D50">
      <w:pPr>
        <w:pStyle w:val="EndnoteText"/>
      </w:pPr>
      <w:r>
        <w:rPr>
          <w:rStyle w:val="EndnoteReference"/>
        </w:rPr>
        <w:endnoteRef/>
      </w:r>
      <w:r>
        <w:t xml:space="preserve"> For more information about gender inequality as a driver of poor mental health among women and girls, please refer to Women’s Health Victoria (2019) </w:t>
      </w:r>
      <w:hyperlink r:id="rId32" w:history="1">
        <w:r w:rsidRPr="0047498F">
          <w:rPr>
            <w:rStyle w:val="Hyperlink"/>
          </w:rPr>
          <w:t>Submission to Royal Commission into Victoria’s Mental Health System</w:t>
        </w:r>
      </w:hyperlink>
      <w:r>
        <w:t xml:space="preserve">, </w:t>
      </w:r>
      <w:r w:rsidRPr="00871F4B">
        <w:t xml:space="preserve">pp </w:t>
      </w:r>
      <w:r w:rsidR="00871F4B" w:rsidRPr="00871F4B">
        <w:t>7</w:t>
      </w:r>
      <w:r w:rsidRPr="00871F4B">
        <w:t>-</w:t>
      </w:r>
      <w:r w:rsidR="00871F4B" w:rsidRPr="00871F4B">
        <w:t>14</w:t>
      </w:r>
      <w:r w:rsidRPr="00871F4B">
        <w:t>.</w:t>
      </w:r>
    </w:p>
  </w:endnote>
  <w:endnote w:id="30">
    <w:p w14:paraId="676CD220" w14:textId="1B9BCBC4" w:rsidR="00F8512F" w:rsidRDefault="00F8512F">
      <w:pPr>
        <w:pStyle w:val="EndnoteText"/>
      </w:pPr>
      <w:r>
        <w:rPr>
          <w:rStyle w:val="EndnoteReference"/>
        </w:rPr>
        <w:endnoteRef/>
      </w:r>
      <w:r>
        <w:t xml:space="preserve"> </w:t>
      </w:r>
      <w:r w:rsidR="008A4B7D" w:rsidRPr="00373D01">
        <w:t xml:space="preserve">Tseris E (2019) </w:t>
      </w:r>
      <w:r w:rsidR="00CA2EDA">
        <w:t>‘</w:t>
      </w:r>
      <w:r w:rsidR="008A4B7D" w:rsidRPr="00373D01">
        <w:t>Accepting My Illness? Problematising the Claims of Mental Health Anti-Stigma Efforts</w:t>
      </w:r>
      <w:r w:rsidR="00CA2EDA">
        <w:t>’</w:t>
      </w:r>
      <w:r w:rsidR="008A4B7D" w:rsidRPr="00373D01">
        <w:t xml:space="preserve">. In D. Baines, B. Bennett, S. Goodwin, M. </w:t>
      </w:r>
      <w:r w:rsidR="008A4B7D" w:rsidRPr="00373D01">
        <w:t>Rawsthorne (Eds.), Working Across Difference: Social Work, Social Policy and Social Justice, pp. 155-169. London: Red Globe Press.</w:t>
      </w:r>
    </w:p>
  </w:endnote>
  <w:endnote w:id="31">
    <w:p w14:paraId="641048C3" w14:textId="5EC5C47C" w:rsidR="0037731B" w:rsidRDefault="0037731B">
      <w:pPr>
        <w:pStyle w:val="EndnoteText"/>
      </w:pPr>
      <w:r>
        <w:rPr>
          <w:rStyle w:val="EndnoteReference"/>
        </w:rPr>
        <w:endnoteRef/>
      </w:r>
      <w:r>
        <w:t xml:space="preserve"> </w:t>
      </w:r>
      <w:r w:rsidR="008A4B7D">
        <w:t>Suicide Prevention Australia (2016</w:t>
      </w:r>
      <w:r w:rsidR="008A4B7D" w:rsidRPr="00CA2EDA">
        <w:t xml:space="preserve">). </w:t>
      </w:r>
      <w:hyperlink r:id="rId33" w:history="1">
        <w:r w:rsidR="008A4B7D" w:rsidRPr="00CA2EDA">
          <w:rPr>
            <w:rStyle w:val="Hyperlink"/>
          </w:rPr>
          <w:t>Suicide and Suicidal Behaviour in Women – Issues and Prevention. A Discussion Paper</w:t>
        </w:r>
      </w:hyperlink>
      <w:r w:rsidR="008A4B7D">
        <w:t xml:space="preserve">. </w:t>
      </w:r>
      <w:r w:rsidR="00CA2EDA">
        <w:t xml:space="preserve">Suicide Prevention Australia. </w:t>
      </w:r>
      <w:r w:rsidR="008A4B7D">
        <w:t>Sydney</w:t>
      </w:r>
      <w:r w:rsidR="00CA2EDA">
        <w:t>.</w:t>
      </w:r>
    </w:p>
  </w:endnote>
  <w:endnote w:id="32">
    <w:p w14:paraId="2D3F94A2" w14:textId="74463E39" w:rsidR="0037731B" w:rsidRDefault="0037731B">
      <w:pPr>
        <w:pStyle w:val="EndnoteText"/>
      </w:pPr>
      <w:r>
        <w:rPr>
          <w:rStyle w:val="EndnoteReference"/>
        </w:rPr>
        <w:endnoteRef/>
      </w:r>
      <w:r>
        <w:t xml:space="preserve"> </w:t>
      </w:r>
      <w:r w:rsidR="008A4B7D">
        <w:t>Suicide Prevention Australia (</w:t>
      </w:r>
      <w:r w:rsidR="00CA2EDA">
        <w:t>2016</w:t>
      </w:r>
      <w:r w:rsidR="00CA2EDA" w:rsidRPr="00CA2EDA">
        <w:t xml:space="preserve">). </w:t>
      </w:r>
      <w:hyperlink r:id="rId34" w:history="1">
        <w:r w:rsidR="00CA2EDA" w:rsidRPr="00CA2EDA">
          <w:rPr>
            <w:rStyle w:val="Hyperlink"/>
          </w:rPr>
          <w:t>Suicide and Suicidal Behaviour in Women – Issues and Prevention. A Discussion Paper</w:t>
        </w:r>
      </w:hyperlink>
      <w:r w:rsidR="00CA2EDA">
        <w:t>. Suicide Prevention Australia. Sydney.</w:t>
      </w:r>
    </w:p>
  </w:endnote>
  <w:endnote w:id="33">
    <w:p w14:paraId="46CFB827" w14:textId="53D4985B" w:rsidR="00997256" w:rsidRPr="00CA2EDA" w:rsidRDefault="00997256" w:rsidP="00997256">
      <w:pPr>
        <w:pStyle w:val="EndnoteText"/>
        <w:tabs>
          <w:tab w:val="left" w:pos="142"/>
          <w:tab w:val="left" w:pos="1843"/>
        </w:tabs>
        <w:ind w:left="142" w:hanging="142"/>
        <w:rPr>
          <w:rFonts w:cstheme="minorHAnsi"/>
        </w:rPr>
      </w:pPr>
      <w:r w:rsidRPr="00941218">
        <w:rPr>
          <w:rStyle w:val="EndnoteReference"/>
          <w:rFonts w:cstheme="minorHAnsi"/>
        </w:rPr>
        <w:endnoteRef/>
      </w:r>
      <w:r w:rsidRPr="00941218">
        <w:rPr>
          <w:rFonts w:cstheme="minorHAnsi"/>
        </w:rPr>
        <w:t xml:space="preserve"> </w:t>
      </w:r>
      <w:r w:rsidRPr="00941218">
        <w:rPr>
          <w:rFonts w:cstheme="minorHAnsi"/>
        </w:rPr>
        <w:t>O’Dwyer C</w:t>
      </w:r>
      <w:r w:rsidR="00CA2EDA">
        <w:rPr>
          <w:rFonts w:cstheme="minorHAnsi"/>
        </w:rPr>
        <w:t xml:space="preserve"> </w:t>
      </w:r>
      <w:r w:rsidRPr="00941218">
        <w:rPr>
          <w:rFonts w:cstheme="minorHAnsi"/>
        </w:rPr>
        <w:t xml:space="preserve">et al (2019) </w:t>
      </w:r>
      <w:hyperlink r:id="rId35"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A2EDA">
        <w:rPr>
          <w:rFonts w:cstheme="minorHAnsi"/>
        </w:rPr>
        <w:t>BMC Health Services Research 19:839.</w:t>
      </w:r>
    </w:p>
  </w:endnote>
  <w:endnote w:id="34">
    <w:p w14:paraId="0FA5785F" w14:textId="437A7D66" w:rsidR="00997256" w:rsidRPr="00941218" w:rsidRDefault="00997256" w:rsidP="00997256">
      <w:pPr>
        <w:pStyle w:val="EndnoteText"/>
        <w:tabs>
          <w:tab w:val="left" w:pos="142"/>
          <w:tab w:val="left" w:pos="1843"/>
        </w:tabs>
        <w:ind w:left="142" w:hanging="142"/>
        <w:rPr>
          <w:rFonts w:cstheme="minorHAnsi"/>
        </w:rPr>
      </w:pPr>
      <w:r w:rsidRPr="00941218">
        <w:rPr>
          <w:rStyle w:val="EndnoteReference"/>
          <w:rFonts w:cstheme="minorHAnsi"/>
        </w:rPr>
        <w:endnoteRef/>
      </w:r>
      <w:r w:rsidRPr="00941218">
        <w:rPr>
          <w:rFonts w:cstheme="minorHAnsi"/>
        </w:rPr>
        <w:t xml:space="preserve"> </w:t>
      </w:r>
      <w:r w:rsidRPr="00941218">
        <w:rPr>
          <w:rFonts w:cstheme="minorHAnsi"/>
        </w:rPr>
        <w:t>O’Dwyer C</w:t>
      </w:r>
      <w:r w:rsidR="00CA2EDA">
        <w:rPr>
          <w:rFonts w:cstheme="minorHAnsi"/>
        </w:rPr>
        <w:t xml:space="preserve"> et al (</w:t>
      </w:r>
      <w:r w:rsidRPr="00941218">
        <w:rPr>
          <w:rFonts w:cstheme="minorHAnsi"/>
        </w:rPr>
        <w:t xml:space="preserve">2019) </w:t>
      </w:r>
      <w:hyperlink r:id="rId36"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A2EDA">
        <w:rPr>
          <w:rFonts w:cstheme="minorHAnsi"/>
        </w:rPr>
        <w:t>BMC Health Services Research 19:839.</w:t>
      </w:r>
    </w:p>
  </w:endnote>
  <w:endnote w:id="35">
    <w:p w14:paraId="0A03247D" w14:textId="34918FDE" w:rsidR="00997256" w:rsidRDefault="00997256" w:rsidP="00997256">
      <w:pPr>
        <w:pStyle w:val="EndnoteText"/>
      </w:pPr>
      <w:r w:rsidRPr="003570AD">
        <w:rPr>
          <w:rStyle w:val="EndnoteReference"/>
        </w:rPr>
        <w:endnoteRef/>
      </w:r>
      <w:r w:rsidRPr="003570AD">
        <w:t xml:space="preserve"> </w:t>
      </w:r>
      <w:bookmarkStart w:id="10" w:name="_Hlk80355469"/>
      <w:r w:rsidR="006A00D9" w:rsidRPr="003570AD">
        <w:t xml:space="preserve">Women's Mental Health Alliance (2020) </w:t>
      </w:r>
      <w:hyperlink r:id="rId37" w:history="1">
        <w:r w:rsidR="006A00D9" w:rsidRPr="003570AD">
          <w:rPr>
            <w:rStyle w:val="Hyperlink"/>
          </w:rPr>
          <w:t>Additional evidence on gender and mental health for the Royal Commission into Victoria’s mental health system</w:t>
        </w:r>
      </w:hyperlink>
      <w:r w:rsidR="006A00D9" w:rsidRPr="003570AD">
        <w:t xml:space="preserve">. Women's </w:t>
      </w:r>
      <w:r w:rsidR="003570AD" w:rsidRPr="003570AD">
        <w:t>Health Victoria</w:t>
      </w:r>
      <w:r w:rsidR="006A00D9" w:rsidRPr="003570AD">
        <w:t>. Melbourne.</w:t>
      </w:r>
      <w:bookmarkEnd w:id="10"/>
    </w:p>
  </w:endnote>
  <w:endnote w:id="36">
    <w:p w14:paraId="282A887C" w14:textId="77777777" w:rsidR="00566A97" w:rsidRDefault="00566A97" w:rsidP="00566A97">
      <w:pPr>
        <w:pStyle w:val="EndnoteText"/>
      </w:pPr>
      <w:r>
        <w:rPr>
          <w:rStyle w:val="EndnoteReference"/>
        </w:rPr>
        <w:endnoteRef/>
      </w:r>
      <w:r>
        <w:t xml:space="preserve"> American Psychological Association (2007) Guidelines for psychological practice with girls and women, American Psychologist, Vol 62, No. 9, p 951.</w:t>
      </w:r>
    </w:p>
  </w:endnote>
  <w:endnote w:id="37">
    <w:p w14:paraId="5E9C456C" w14:textId="6DE2F615" w:rsidR="00F26B77" w:rsidRDefault="00F26B77">
      <w:pPr>
        <w:pStyle w:val="EndnoteText"/>
      </w:pPr>
      <w:r>
        <w:rPr>
          <w:rStyle w:val="EndnoteReference"/>
        </w:rPr>
        <w:endnoteRef/>
      </w:r>
      <w:r>
        <w:t xml:space="preserve"> </w:t>
      </w:r>
      <w:r w:rsidR="006A00D9" w:rsidRPr="006A00D9">
        <w:t>Battle CL</w:t>
      </w:r>
      <w:r w:rsidR="00CA2EDA">
        <w:t xml:space="preserve"> et al </w:t>
      </w:r>
      <w:r w:rsidR="006A00D9" w:rsidRPr="006A00D9">
        <w:t xml:space="preserve">(2004) </w:t>
      </w:r>
      <w:hyperlink r:id="rId38" w:history="1">
        <w:r w:rsidR="006A00D9" w:rsidRPr="00CA2EDA">
          <w:rPr>
            <w:rStyle w:val="Hyperlink"/>
          </w:rPr>
          <w:t>Childhood maltreatment associated with adult personality disorders: findings from a Collaborative Longitudinal Personality Disorders Study</w:t>
        </w:r>
      </w:hyperlink>
      <w:r w:rsidR="006A00D9" w:rsidRPr="00CA2EDA">
        <w:t>.</w:t>
      </w:r>
      <w:r w:rsidR="006A00D9" w:rsidRPr="006A00D9">
        <w:t xml:space="preserve"> J Personal </w:t>
      </w:r>
      <w:r w:rsidR="006A00D9" w:rsidRPr="006A00D9">
        <w:t>Disord. 18(2):193–211.</w:t>
      </w:r>
    </w:p>
  </w:endnote>
  <w:endnote w:id="38">
    <w:p w14:paraId="6E7D6C51" w14:textId="75AAEC2C" w:rsidR="00A0401D" w:rsidRPr="00CA2EDA" w:rsidRDefault="00A0401D">
      <w:pPr>
        <w:pStyle w:val="EndnoteText"/>
        <w:rPr>
          <w:rFonts w:cstheme="minorHAnsi"/>
        </w:rPr>
      </w:pPr>
      <w:r>
        <w:rPr>
          <w:rStyle w:val="EndnoteReference"/>
        </w:rPr>
        <w:endnoteRef/>
      </w:r>
      <w:r>
        <w:t xml:space="preserve"> </w:t>
      </w:r>
      <w:r w:rsidR="00CA2EDA" w:rsidRPr="008A4B7D">
        <w:t xml:space="preserve">ANROWS (2020). </w:t>
      </w:r>
      <w:hyperlink r:id="rId39" w:history="1">
        <w:r w:rsidR="00CA2EDA" w:rsidRPr="00E515F6">
          <w:rPr>
            <w:rStyle w:val="Hyperlink"/>
          </w:rPr>
          <w:t>Violence against women and mental health</w:t>
        </w:r>
      </w:hyperlink>
      <w:r w:rsidR="00CA2EDA">
        <w:rPr>
          <w:color w:val="0461C1"/>
        </w:rPr>
        <w:t>.</w:t>
      </w:r>
      <w:r w:rsidR="00CA2EDA" w:rsidRPr="008A4B7D">
        <w:rPr>
          <w:color w:val="0461C1"/>
        </w:rPr>
        <w:t xml:space="preserve"> </w:t>
      </w:r>
      <w:r w:rsidR="00CA2EDA" w:rsidRPr="008A4B7D">
        <w:t>Australia’s National Research Organisation for Women’s Safety. Sydney</w:t>
      </w:r>
      <w:r w:rsidR="00CA2EDA">
        <w:t xml:space="preserve"> –</w:t>
      </w:r>
      <w:r w:rsidR="00CA2EDA" w:rsidRPr="008A4B7D">
        <w:t xml:space="preserve"> </w:t>
      </w:r>
      <w:r w:rsidR="00CA2EDA" w:rsidRPr="00E515F6">
        <w:t>(ANROWS Insights, 04/2020).</w:t>
      </w:r>
      <w:r w:rsidR="008A4B7D">
        <w:t xml:space="preserve"> </w:t>
      </w:r>
      <w:r w:rsidRPr="008A4B7D">
        <w:t>pp 7-8</w:t>
      </w:r>
      <w:r w:rsidRPr="008A4B7D">
        <w:rPr>
          <w:i/>
          <w:iCs/>
        </w:rPr>
        <w:t>.</w:t>
      </w:r>
    </w:p>
  </w:endnote>
  <w:endnote w:id="39">
    <w:p w14:paraId="2F85CB00" w14:textId="6988D0C0" w:rsidR="00BF7D3E" w:rsidRDefault="00BF7D3E" w:rsidP="00BF7D3E">
      <w:pPr>
        <w:pStyle w:val="EndnoteText"/>
      </w:pPr>
      <w:r>
        <w:rPr>
          <w:rStyle w:val="EndnoteReference"/>
        </w:rPr>
        <w:endnoteRef/>
      </w:r>
      <w:r>
        <w:t xml:space="preserve"> </w:t>
      </w:r>
      <w:r w:rsidRPr="00BF7D3E">
        <w:t xml:space="preserve">Van der Sanden R et al (2015) </w:t>
      </w:r>
      <w:hyperlink r:id="rId40" w:history="1">
        <w:r w:rsidRPr="00CA2EDA">
          <w:rPr>
            <w:rStyle w:val="Hyperlink"/>
          </w:rPr>
          <w:t>Stigma by Association Among Family Members of People with a Mental Illness: A Qualitative Analysis</w:t>
        </w:r>
      </w:hyperlink>
      <w:r w:rsidR="00CA2EDA">
        <w:t>.</w:t>
      </w:r>
      <w:r w:rsidRPr="00BF7D3E">
        <w:t xml:space="preserve"> Community and Applied Social Psychology, Vol 25(5), 400-417; </w:t>
      </w:r>
      <w:r w:rsidRPr="00BF7D3E">
        <w:t xml:space="preserve">Scheyett A (1990) </w:t>
      </w:r>
      <w:hyperlink r:id="rId41" w:history="1">
        <w:r w:rsidRPr="00CA2EDA">
          <w:rPr>
            <w:rStyle w:val="Hyperlink"/>
          </w:rPr>
          <w:t>The Oppression of Caring: Women Caregivers of Relatives with Mental Illness</w:t>
        </w:r>
      </w:hyperlink>
      <w:r w:rsidR="00CA2EDA">
        <w:t xml:space="preserve">. </w:t>
      </w:r>
      <w:r w:rsidRPr="00BF7D3E">
        <w:t xml:space="preserve">Affilia, 5(1), 32–48; Johnston J (2013) </w:t>
      </w:r>
      <w:hyperlink r:id="rId42" w:history="1">
        <w:r w:rsidRPr="00CA2EDA">
          <w:rPr>
            <w:rStyle w:val="Hyperlink"/>
          </w:rPr>
          <w:t>The ghost of the schizophrenogenic-mother</w:t>
        </w:r>
      </w:hyperlink>
      <w:r w:rsidR="00CA2EDA">
        <w:t>.</w:t>
      </w:r>
      <w:r w:rsidRPr="00BF7D3E">
        <w:t xml:space="preserve"> AMA Journal of Ethics - Virtual Mentor; 15(9), 801-805.</w:t>
      </w:r>
    </w:p>
  </w:endnote>
  <w:endnote w:id="40">
    <w:p w14:paraId="069AA007" w14:textId="6D0B9E04" w:rsidR="00FD7E68" w:rsidRDefault="00FD7E68">
      <w:pPr>
        <w:pStyle w:val="EndnoteText"/>
      </w:pPr>
      <w:r>
        <w:rPr>
          <w:rStyle w:val="EndnoteReference"/>
        </w:rPr>
        <w:endnoteRef/>
      </w:r>
      <w:r>
        <w:t xml:space="preserve"> </w:t>
      </w:r>
      <w:r w:rsidR="003060CC">
        <w:t>Sullivan C</w:t>
      </w:r>
      <w:r w:rsidR="00CA2EDA">
        <w:t xml:space="preserve"> et al</w:t>
      </w:r>
      <w:r w:rsidR="003060CC">
        <w:t xml:space="preserve"> (2020) </w:t>
      </w:r>
      <w:hyperlink r:id="rId43" w:history="1">
        <w:r w:rsidR="003060CC" w:rsidRPr="003060CC">
          <w:rPr>
            <w:rStyle w:val="Hyperlink"/>
          </w:rPr>
          <w:t>Migrant and refugee women’s mental health in Australia: a literature review.</w:t>
        </w:r>
      </w:hyperlink>
      <w:r w:rsidR="003060CC">
        <w:t xml:space="preserve"> School of Population and Global Health, University of Melbourne, p.20.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Times">
    <w:altName w:val="﷽﷽﷽﷽﷽﷽螣Н牨羂"/>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66B" w14:textId="77777777" w:rsidR="00ED4EDC" w:rsidRDefault="00ED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08D1131C" w:rsidR="00FF1EB4" w:rsidRDefault="00DB0703">
    <w:pPr>
      <w:pStyle w:val="Footer"/>
    </w:pPr>
    <w:r>
      <w:rPr>
        <w:noProof/>
      </w:rPr>
      <mc:AlternateContent>
        <mc:Choice Requires="wps">
          <w:drawing>
            <wp:anchor distT="45720" distB="45720" distL="114300" distR="114300" simplePos="0" relativeHeight="251662336" behindDoc="0" locked="0" layoutInCell="1" allowOverlap="1" wp14:anchorId="4AD42514" wp14:editId="3EAADDFE">
              <wp:simplePos x="0" y="0"/>
              <wp:positionH relativeFrom="column">
                <wp:posOffset>-180975</wp:posOffset>
              </wp:positionH>
              <wp:positionV relativeFrom="paragraph">
                <wp:posOffset>19685</wp:posOffset>
              </wp:positionV>
              <wp:extent cx="6353175"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8600"/>
                      </a:xfrm>
                      <a:prstGeom prst="rect">
                        <a:avLst/>
                      </a:prstGeom>
                      <a:noFill/>
                      <a:ln w="9525">
                        <a:noFill/>
                        <a:miter lim="800000"/>
                        <a:headEnd/>
                        <a:tailEnd/>
                      </a:ln>
                    </wps:spPr>
                    <wps:txbx>
                      <w:txbxContent>
                        <w:p w14:paraId="686F0383" w14:textId="69CFCE9A" w:rsidR="00FF1EB4" w:rsidRPr="004814AB" w:rsidRDefault="00615791">
                          <w:pPr>
                            <w:rPr>
                              <w:rFonts w:cstheme="minorHAnsi"/>
                              <w:color w:val="391160"/>
                            </w:rPr>
                          </w:pPr>
                          <w:r w:rsidRPr="004814AB">
                            <w:rPr>
                              <w:rFonts w:cstheme="minorHAnsi"/>
                              <w:color w:val="391160"/>
                              <w:sz w:val="18"/>
                              <w:szCs w:val="18"/>
                            </w:rPr>
                            <w:t xml:space="preserve">Women’s Mental Health Alliance, </w:t>
                          </w:r>
                          <w:r w:rsidR="00ED4EDC">
                            <w:rPr>
                              <w:rFonts w:cstheme="minorHAnsi"/>
                              <w:color w:val="391160"/>
                              <w:sz w:val="18"/>
                              <w:szCs w:val="18"/>
                            </w:rPr>
                            <w:t xml:space="preserve">Submission to Parliamentary Inquiry into Mental Health and Suicide Prevention, </w:t>
                          </w:r>
                          <w:r w:rsidRPr="004814AB">
                            <w:rPr>
                              <w:rFonts w:cstheme="minorHAnsi"/>
                              <w:color w:val="391160"/>
                              <w:sz w:val="18"/>
                              <w:szCs w:val="18"/>
                            </w:rPr>
                            <w:t>Aug</w:t>
                          </w:r>
                          <w:r w:rsidR="00FF1EB4" w:rsidRPr="004814AB">
                            <w:rPr>
                              <w:rFonts w:cstheme="minorHAnsi"/>
                              <w:color w:val="391160"/>
                              <w:sz w:val="18"/>
                              <w:szCs w:val="18"/>
                            </w:rPr>
                            <w:t xml:space="preserve"> 20</w:t>
                          </w:r>
                          <w:r w:rsidRPr="004814AB">
                            <w:rPr>
                              <w:rFonts w:cstheme="minorHAnsi"/>
                              <w:color w:val="391160"/>
                              <w:sz w:val="18"/>
                              <w:szCs w:val="1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42514" id="_x0000_t202" coordsize="21600,21600" o:spt="202" path="m,l,21600r21600,l21600,xe">
              <v:stroke joinstyle="miter"/>
              <v:path gradientshapeok="t" o:connecttype="rect"/>
            </v:shapetype>
            <v:shape id="_x0000_s1030" type="#_x0000_t202" style="position:absolute;margin-left:-14.25pt;margin-top:1.55pt;width:500.2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" filled="f" stroked="f">
              <v:textbox>
                <w:txbxContent>
                  <w:p w14:paraId="686F0383" w14:textId="69CFCE9A" w:rsidR="00FF1EB4" w:rsidRPr="004814AB" w:rsidRDefault="00615791">
                    <w:pPr>
                      <w:rPr>
                        <w:rFonts w:cstheme="minorHAnsi"/>
                        <w:color w:val="391160"/>
                      </w:rPr>
                    </w:pPr>
                    <w:r w:rsidRPr="004814AB">
                      <w:rPr>
                        <w:rFonts w:cstheme="minorHAnsi"/>
                        <w:color w:val="391160"/>
                        <w:sz w:val="18"/>
                        <w:szCs w:val="18"/>
                      </w:rPr>
                      <w:t xml:space="preserve">Women’s Mental Health Alliance, </w:t>
                    </w:r>
                    <w:r w:rsidR="00ED4EDC">
                      <w:rPr>
                        <w:rFonts w:cstheme="minorHAnsi"/>
                        <w:color w:val="391160"/>
                        <w:sz w:val="18"/>
                        <w:szCs w:val="18"/>
                      </w:rPr>
                      <w:t xml:space="preserve">Submission to Parliamentary Inquiry into Mental Health and Suicide Prevention, </w:t>
                    </w:r>
                    <w:r w:rsidRPr="004814AB">
                      <w:rPr>
                        <w:rFonts w:cstheme="minorHAnsi"/>
                        <w:color w:val="391160"/>
                        <w:sz w:val="18"/>
                        <w:szCs w:val="18"/>
                      </w:rPr>
                      <w:t>Aug</w:t>
                    </w:r>
                    <w:r w:rsidR="00FF1EB4" w:rsidRPr="004814AB">
                      <w:rPr>
                        <w:rFonts w:cstheme="minorHAnsi"/>
                        <w:color w:val="391160"/>
                        <w:sz w:val="18"/>
                        <w:szCs w:val="18"/>
                      </w:rPr>
                      <w:t xml:space="preserve"> 20</w:t>
                    </w:r>
                    <w:r w:rsidRPr="004814AB">
                      <w:rPr>
                        <w:rFonts w:cstheme="minorHAnsi"/>
                        <w:color w:val="391160"/>
                        <w:sz w:val="18"/>
                        <w:szCs w:val="18"/>
                      </w:rPr>
                      <w:t>21</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A6E2332" wp14:editId="26D32818">
              <wp:simplePos x="0" y="0"/>
              <wp:positionH relativeFrom="margin">
                <wp:posOffset>2209800</wp:posOffset>
              </wp:positionH>
              <wp:positionV relativeFrom="paragraph">
                <wp:posOffset>243840</wp:posOffset>
              </wp:positionV>
              <wp:extent cx="8001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E2332" id="_x0000_s1031" type="#_x0000_t202" style="position:absolute;margin-left:174pt;margin-top:19.2pt;width:6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" filled="f" stroked="f">
              <v:textbox style="mso-fit-shape-to-text:t">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0E71" w14:textId="77777777" w:rsidR="00ED4EDC" w:rsidRDefault="00ED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5881" w14:textId="77777777" w:rsidR="0024119A" w:rsidRDefault="0024119A" w:rsidP="00016DE9">
      <w:pPr>
        <w:spacing w:after="0" w:line="240" w:lineRule="auto"/>
      </w:pPr>
      <w:r>
        <w:separator/>
      </w:r>
    </w:p>
  </w:footnote>
  <w:footnote w:type="continuationSeparator" w:id="0">
    <w:p w14:paraId="61373FFB" w14:textId="77777777" w:rsidR="0024119A" w:rsidRDefault="0024119A" w:rsidP="0001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D4F2" w14:textId="77777777" w:rsidR="00ED4EDC" w:rsidRDefault="00ED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733" w14:textId="10FB767B" w:rsidR="00FF1EB4" w:rsidRDefault="00C74CBA">
    <w:pPr>
      <w:pStyle w:val="Header"/>
    </w:pPr>
    <w:r>
      <w:rPr>
        <w:noProof/>
      </w:rPr>
      <w:drawing>
        <wp:anchor distT="0" distB="0" distL="114300" distR="114300" simplePos="0" relativeHeight="251666432" behindDoc="1" locked="0" layoutInCell="1" allowOverlap="1" wp14:anchorId="19FD034F" wp14:editId="4460D1A0">
          <wp:simplePos x="0" y="0"/>
          <wp:positionH relativeFrom="page">
            <wp:align>right</wp:align>
          </wp:positionH>
          <wp:positionV relativeFrom="paragraph">
            <wp:posOffset>-449580</wp:posOffset>
          </wp:positionV>
          <wp:extent cx="7551683" cy="10681623"/>
          <wp:effectExtent l="0" t="0" r="0" b="5715"/>
          <wp:wrapNone/>
          <wp:docPr id="10" name="Picture 1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1683" cy="10681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A281" w14:textId="1D98FE7E" w:rsidR="007C4C6B" w:rsidRDefault="00CD5626">
    <w:pPr>
      <w:pStyle w:val="Header"/>
    </w:pPr>
    <w:r>
      <w:rPr>
        <w:noProof/>
      </w:rPr>
      <w:drawing>
        <wp:anchor distT="0" distB="0" distL="114300" distR="114300" simplePos="0" relativeHeight="251667456" behindDoc="1" locked="0" layoutInCell="1" allowOverlap="1" wp14:anchorId="1167FC72" wp14:editId="688719AE">
          <wp:simplePos x="0" y="0"/>
          <wp:positionH relativeFrom="page">
            <wp:align>right</wp:align>
          </wp:positionH>
          <wp:positionV relativeFrom="paragraph">
            <wp:posOffset>-449580</wp:posOffset>
          </wp:positionV>
          <wp:extent cx="7545766" cy="1067325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766" cy="1067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909"/>
    <w:multiLevelType w:val="hybridMultilevel"/>
    <w:tmpl w:val="FEE8D0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9207B"/>
    <w:multiLevelType w:val="hybridMultilevel"/>
    <w:tmpl w:val="2F9CB91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B411BB"/>
    <w:multiLevelType w:val="multilevel"/>
    <w:tmpl w:val="E9CC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E795D"/>
    <w:multiLevelType w:val="hybridMultilevel"/>
    <w:tmpl w:val="75B2C1AE"/>
    <w:lvl w:ilvl="0" w:tplc="4A540162">
      <w:start w:val="6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547D2"/>
    <w:multiLevelType w:val="hybridMultilevel"/>
    <w:tmpl w:val="FE56E9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14901744">
      <w:numFmt w:val="bullet"/>
      <w:lvlText w:val="-"/>
      <w:lvlJc w:val="left"/>
      <w:pPr>
        <w:ind w:left="2340" w:hanging="360"/>
      </w:pPr>
      <w:rPr>
        <w:rFonts w:ascii="Calibri" w:eastAsia="Calibr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4145B"/>
    <w:multiLevelType w:val="hybridMultilevel"/>
    <w:tmpl w:val="5C163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BC29B7"/>
    <w:multiLevelType w:val="hybridMultilevel"/>
    <w:tmpl w:val="8202EA1C"/>
    <w:lvl w:ilvl="0" w:tplc="0C0694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C0853"/>
    <w:multiLevelType w:val="hybridMultilevel"/>
    <w:tmpl w:val="03260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C201CC"/>
    <w:multiLevelType w:val="hybridMultilevel"/>
    <w:tmpl w:val="55484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EC625D"/>
    <w:multiLevelType w:val="hybridMultilevel"/>
    <w:tmpl w:val="BBF2E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853C9F"/>
    <w:multiLevelType w:val="hybridMultilevel"/>
    <w:tmpl w:val="9E4EB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77155A"/>
    <w:multiLevelType w:val="hybridMultilevel"/>
    <w:tmpl w:val="C2EC7F2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8A1788"/>
    <w:multiLevelType w:val="hybridMultilevel"/>
    <w:tmpl w:val="09BE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E33B6E"/>
    <w:multiLevelType w:val="hybridMultilevel"/>
    <w:tmpl w:val="449C6B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3E7192"/>
    <w:multiLevelType w:val="hybridMultilevel"/>
    <w:tmpl w:val="733653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4"/>
  </w:num>
  <w:num w:numId="5">
    <w:abstractNumId w:val="5"/>
  </w:num>
  <w:num w:numId="6">
    <w:abstractNumId w:val="12"/>
  </w:num>
  <w:num w:numId="7">
    <w:abstractNumId w:val="0"/>
  </w:num>
  <w:num w:numId="8">
    <w:abstractNumId w:val="7"/>
  </w:num>
  <w:num w:numId="9">
    <w:abstractNumId w:val="4"/>
  </w:num>
  <w:num w:numId="10">
    <w:abstractNumId w:val="10"/>
  </w:num>
  <w:num w:numId="11">
    <w:abstractNumId w:val="8"/>
  </w:num>
  <w:num w:numId="12">
    <w:abstractNumId w:val="6"/>
  </w:num>
  <w:num w:numId="13">
    <w:abstractNumId w:val="9"/>
  </w:num>
  <w:num w:numId="14">
    <w:abstractNumId w:val="13"/>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05465"/>
    <w:rsid w:val="000142E6"/>
    <w:rsid w:val="00016DE9"/>
    <w:rsid w:val="00017088"/>
    <w:rsid w:val="000171F6"/>
    <w:rsid w:val="00031D56"/>
    <w:rsid w:val="000322D7"/>
    <w:rsid w:val="0005335F"/>
    <w:rsid w:val="000575E5"/>
    <w:rsid w:val="00064223"/>
    <w:rsid w:val="00070F75"/>
    <w:rsid w:val="00072222"/>
    <w:rsid w:val="000941B4"/>
    <w:rsid w:val="000A0A69"/>
    <w:rsid w:val="000B0518"/>
    <w:rsid w:val="000B24F9"/>
    <w:rsid w:val="000C22B4"/>
    <w:rsid w:val="000F0CEE"/>
    <w:rsid w:val="000F2BA4"/>
    <w:rsid w:val="00102923"/>
    <w:rsid w:val="001514C3"/>
    <w:rsid w:val="00155679"/>
    <w:rsid w:val="0016019D"/>
    <w:rsid w:val="00170B3E"/>
    <w:rsid w:val="00174B80"/>
    <w:rsid w:val="00182252"/>
    <w:rsid w:val="0019012F"/>
    <w:rsid w:val="001928C0"/>
    <w:rsid w:val="001975C2"/>
    <w:rsid w:val="001A3E72"/>
    <w:rsid w:val="001B09BE"/>
    <w:rsid w:val="001B5E23"/>
    <w:rsid w:val="001D35DF"/>
    <w:rsid w:val="001D5E68"/>
    <w:rsid w:val="001E3570"/>
    <w:rsid w:val="00202EFD"/>
    <w:rsid w:val="00205270"/>
    <w:rsid w:val="0020721B"/>
    <w:rsid w:val="002078C9"/>
    <w:rsid w:val="00226A76"/>
    <w:rsid w:val="0022775C"/>
    <w:rsid w:val="0024119A"/>
    <w:rsid w:val="0024157F"/>
    <w:rsid w:val="00241E08"/>
    <w:rsid w:val="00241E5D"/>
    <w:rsid w:val="002427D4"/>
    <w:rsid w:val="00260E71"/>
    <w:rsid w:val="0026666C"/>
    <w:rsid w:val="00270B8F"/>
    <w:rsid w:val="00276841"/>
    <w:rsid w:val="002875BA"/>
    <w:rsid w:val="00290516"/>
    <w:rsid w:val="00294515"/>
    <w:rsid w:val="002B1256"/>
    <w:rsid w:val="002C1211"/>
    <w:rsid w:val="002D0B3F"/>
    <w:rsid w:val="002E553D"/>
    <w:rsid w:val="002F4949"/>
    <w:rsid w:val="003060CC"/>
    <w:rsid w:val="00307063"/>
    <w:rsid w:val="00311E4A"/>
    <w:rsid w:val="00321245"/>
    <w:rsid w:val="003310F8"/>
    <w:rsid w:val="003325F1"/>
    <w:rsid w:val="00334D55"/>
    <w:rsid w:val="00335F96"/>
    <w:rsid w:val="003426D2"/>
    <w:rsid w:val="003570AD"/>
    <w:rsid w:val="00373D01"/>
    <w:rsid w:val="0037731B"/>
    <w:rsid w:val="00385D40"/>
    <w:rsid w:val="0039178A"/>
    <w:rsid w:val="003B0DC3"/>
    <w:rsid w:val="003B2688"/>
    <w:rsid w:val="003E2542"/>
    <w:rsid w:val="003E3D91"/>
    <w:rsid w:val="003E62A2"/>
    <w:rsid w:val="004011C9"/>
    <w:rsid w:val="00402965"/>
    <w:rsid w:val="00411C86"/>
    <w:rsid w:val="00413070"/>
    <w:rsid w:val="00414552"/>
    <w:rsid w:val="00424F72"/>
    <w:rsid w:val="00431188"/>
    <w:rsid w:val="0043139A"/>
    <w:rsid w:val="00440CA0"/>
    <w:rsid w:val="00460A2D"/>
    <w:rsid w:val="0047498F"/>
    <w:rsid w:val="004814AB"/>
    <w:rsid w:val="00485F30"/>
    <w:rsid w:val="004930DD"/>
    <w:rsid w:val="00496339"/>
    <w:rsid w:val="004A6B0C"/>
    <w:rsid w:val="004D07B1"/>
    <w:rsid w:val="004D4802"/>
    <w:rsid w:val="004E2028"/>
    <w:rsid w:val="004F062C"/>
    <w:rsid w:val="0051768F"/>
    <w:rsid w:val="00527BBC"/>
    <w:rsid w:val="00537ACE"/>
    <w:rsid w:val="00542EF6"/>
    <w:rsid w:val="005468A8"/>
    <w:rsid w:val="0055438E"/>
    <w:rsid w:val="00563184"/>
    <w:rsid w:val="005644E6"/>
    <w:rsid w:val="00566A97"/>
    <w:rsid w:val="00570D0C"/>
    <w:rsid w:val="00571E37"/>
    <w:rsid w:val="005732F2"/>
    <w:rsid w:val="00574128"/>
    <w:rsid w:val="00577AA3"/>
    <w:rsid w:val="00577DCA"/>
    <w:rsid w:val="00581D72"/>
    <w:rsid w:val="005A6487"/>
    <w:rsid w:val="005B1BE1"/>
    <w:rsid w:val="005E3788"/>
    <w:rsid w:val="005E719A"/>
    <w:rsid w:val="005F1D7C"/>
    <w:rsid w:val="0060151A"/>
    <w:rsid w:val="00610A4B"/>
    <w:rsid w:val="00611295"/>
    <w:rsid w:val="00615791"/>
    <w:rsid w:val="00615B9E"/>
    <w:rsid w:val="00632AF5"/>
    <w:rsid w:val="00635AD5"/>
    <w:rsid w:val="00635C7F"/>
    <w:rsid w:val="006421A8"/>
    <w:rsid w:val="006458AE"/>
    <w:rsid w:val="006610C7"/>
    <w:rsid w:val="00675280"/>
    <w:rsid w:val="006955BF"/>
    <w:rsid w:val="006A00D9"/>
    <w:rsid w:val="006A3041"/>
    <w:rsid w:val="006A53AB"/>
    <w:rsid w:val="006D1F73"/>
    <w:rsid w:val="006E2B6F"/>
    <w:rsid w:val="006E6D50"/>
    <w:rsid w:val="006E7C5F"/>
    <w:rsid w:val="007235F1"/>
    <w:rsid w:val="00727CEE"/>
    <w:rsid w:val="00730231"/>
    <w:rsid w:val="00737E11"/>
    <w:rsid w:val="00745921"/>
    <w:rsid w:val="00757405"/>
    <w:rsid w:val="0076379D"/>
    <w:rsid w:val="00764203"/>
    <w:rsid w:val="00765F97"/>
    <w:rsid w:val="00766466"/>
    <w:rsid w:val="00766F69"/>
    <w:rsid w:val="00770635"/>
    <w:rsid w:val="00785CAA"/>
    <w:rsid w:val="007A18F9"/>
    <w:rsid w:val="007C4C6B"/>
    <w:rsid w:val="007D6F14"/>
    <w:rsid w:val="007F21DE"/>
    <w:rsid w:val="00802808"/>
    <w:rsid w:val="0080692D"/>
    <w:rsid w:val="0081698F"/>
    <w:rsid w:val="00821D2B"/>
    <w:rsid w:val="00827ABA"/>
    <w:rsid w:val="00843767"/>
    <w:rsid w:val="008438E4"/>
    <w:rsid w:val="008710F2"/>
    <w:rsid w:val="00871AD4"/>
    <w:rsid w:val="00871F4B"/>
    <w:rsid w:val="008820CB"/>
    <w:rsid w:val="008873AB"/>
    <w:rsid w:val="00893B3E"/>
    <w:rsid w:val="00894B3E"/>
    <w:rsid w:val="00895FD6"/>
    <w:rsid w:val="008A231B"/>
    <w:rsid w:val="008A3797"/>
    <w:rsid w:val="008A4B7D"/>
    <w:rsid w:val="008B2E41"/>
    <w:rsid w:val="008C7F89"/>
    <w:rsid w:val="008E1F58"/>
    <w:rsid w:val="008E2886"/>
    <w:rsid w:val="008E7492"/>
    <w:rsid w:val="008F4429"/>
    <w:rsid w:val="00907E70"/>
    <w:rsid w:val="00912652"/>
    <w:rsid w:val="00920867"/>
    <w:rsid w:val="00941218"/>
    <w:rsid w:val="0094746F"/>
    <w:rsid w:val="00972D25"/>
    <w:rsid w:val="00976729"/>
    <w:rsid w:val="009836C1"/>
    <w:rsid w:val="0099034F"/>
    <w:rsid w:val="00993A09"/>
    <w:rsid w:val="00994977"/>
    <w:rsid w:val="00997256"/>
    <w:rsid w:val="009A35C3"/>
    <w:rsid w:val="009A4EFB"/>
    <w:rsid w:val="009B611A"/>
    <w:rsid w:val="009C0733"/>
    <w:rsid w:val="009C3BF1"/>
    <w:rsid w:val="009C44D8"/>
    <w:rsid w:val="009D12B1"/>
    <w:rsid w:val="009D2A9A"/>
    <w:rsid w:val="009F2635"/>
    <w:rsid w:val="009F7748"/>
    <w:rsid w:val="00A01652"/>
    <w:rsid w:val="00A0401D"/>
    <w:rsid w:val="00A07BBF"/>
    <w:rsid w:val="00A16986"/>
    <w:rsid w:val="00A177E5"/>
    <w:rsid w:val="00A24F68"/>
    <w:rsid w:val="00A6266A"/>
    <w:rsid w:val="00A62F02"/>
    <w:rsid w:val="00A6595D"/>
    <w:rsid w:val="00A8674C"/>
    <w:rsid w:val="00A86B2F"/>
    <w:rsid w:val="00A8784E"/>
    <w:rsid w:val="00A92BA6"/>
    <w:rsid w:val="00AA1824"/>
    <w:rsid w:val="00AC2E33"/>
    <w:rsid w:val="00AE1C86"/>
    <w:rsid w:val="00AF5BAA"/>
    <w:rsid w:val="00AF6C59"/>
    <w:rsid w:val="00B01600"/>
    <w:rsid w:val="00B02DE3"/>
    <w:rsid w:val="00B06C0E"/>
    <w:rsid w:val="00B14051"/>
    <w:rsid w:val="00B16CA9"/>
    <w:rsid w:val="00B254C8"/>
    <w:rsid w:val="00B30EC8"/>
    <w:rsid w:val="00B40EE4"/>
    <w:rsid w:val="00B43C7D"/>
    <w:rsid w:val="00B441C5"/>
    <w:rsid w:val="00B53172"/>
    <w:rsid w:val="00B55D92"/>
    <w:rsid w:val="00B6408F"/>
    <w:rsid w:val="00B65529"/>
    <w:rsid w:val="00B6588E"/>
    <w:rsid w:val="00B75EB4"/>
    <w:rsid w:val="00B76036"/>
    <w:rsid w:val="00B769C8"/>
    <w:rsid w:val="00B81913"/>
    <w:rsid w:val="00B830E9"/>
    <w:rsid w:val="00BA11E5"/>
    <w:rsid w:val="00BA46AD"/>
    <w:rsid w:val="00BB04C4"/>
    <w:rsid w:val="00BB44DF"/>
    <w:rsid w:val="00BC39CE"/>
    <w:rsid w:val="00BC4635"/>
    <w:rsid w:val="00BD15A0"/>
    <w:rsid w:val="00BD4A6B"/>
    <w:rsid w:val="00BF2C79"/>
    <w:rsid w:val="00BF7D3E"/>
    <w:rsid w:val="00C06A92"/>
    <w:rsid w:val="00C1773C"/>
    <w:rsid w:val="00C220BF"/>
    <w:rsid w:val="00C41134"/>
    <w:rsid w:val="00C464AC"/>
    <w:rsid w:val="00C74CBA"/>
    <w:rsid w:val="00C764B0"/>
    <w:rsid w:val="00C80964"/>
    <w:rsid w:val="00C80C48"/>
    <w:rsid w:val="00C81610"/>
    <w:rsid w:val="00C95FBE"/>
    <w:rsid w:val="00CA28F4"/>
    <w:rsid w:val="00CA2EDA"/>
    <w:rsid w:val="00CA7595"/>
    <w:rsid w:val="00CB263A"/>
    <w:rsid w:val="00CB6262"/>
    <w:rsid w:val="00CB71FB"/>
    <w:rsid w:val="00CC7ABD"/>
    <w:rsid w:val="00CD5626"/>
    <w:rsid w:val="00CE2D1E"/>
    <w:rsid w:val="00CE601E"/>
    <w:rsid w:val="00CE7939"/>
    <w:rsid w:val="00CF00BB"/>
    <w:rsid w:val="00CF67FB"/>
    <w:rsid w:val="00D14155"/>
    <w:rsid w:val="00D23E6F"/>
    <w:rsid w:val="00D24E2A"/>
    <w:rsid w:val="00D2713F"/>
    <w:rsid w:val="00D33D43"/>
    <w:rsid w:val="00D33DD2"/>
    <w:rsid w:val="00D35B6A"/>
    <w:rsid w:val="00D421A8"/>
    <w:rsid w:val="00D421F5"/>
    <w:rsid w:val="00D47CF7"/>
    <w:rsid w:val="00D55F1B"/>
    <w:rsid w:val="00D63D3C"/>
    <w:rsid w:val="00D66FCA"/>
    <w:rsid w:val="00D7321A"/>
    <w:rsid w:val="00D763E0"/>
    <w:rsid w:val="00D84020"/>
    <w:rsid w:val="00D852D5"/>
    <w:rsid w:val="00DA152D"/>
    <w:rsid w:val="00DA5156"/>
    <w:rsid w:val="00DB0703"/>
    <w:rsid w:val="00DD2D92"/>
    <w:rsid w:val="00DF538D"/>
    <w:rsid w:val="00E10BF8"/>
    <w:rsid w:val="00E21C63"/>
    <w:rsid w:val="00E268A9"/>
    <w:rsid w:val="00E316E1"/>
    <w:rsid w:val="00E43255"/>
    <w:rsid w:val="00E515F6"/>
    <w:rsid w:val="00E65D4F"/>
    <w:rsid w:val="00E65E3E"/>
    <w:rsid w:val="00E732A8"/>
    <w:rsid w:val="00E7406D"/>
    <w:rsid w:val="00E74094"/>
    <w:rsid w:val="00E74985"/>
    <w:rsid w:val="00E77757"/>
    <w:rsid w:val="00E90B8A"/>
    <w:rsid w:val="00EA3E2F"/>
    <w:rsid w:val="00EA49BF"/>
    <w:rsid w:val="00EA5811"/>
    <w:rsid w:val="00EB377F"/>
    <w:rsid w:val="00EC067B"/>
    <w:rsid w:val="00EC09EC"/>
    <w:rsid w:val="00ED4EDC"/>
    <w:rsid w:val="00EE40C8"/>
    <w:rsid w:val="00EF673B"/>
    <w:rsid w:val="00EF7D45"/>
    <w:rsid w:val="00F0270C"/>
    <w:rsid w:val="00F26B77"/>
    <w:rsid w:val="00F3485D"/>
    <w:rsid w:val="00F37E26"/>
    <w:rsid w:val="00F516D8"/>
    <w:rsid w:val="00F535A4"/>
    <w:rsid w:val="00F536B4"/>
    <w:rsid w:val="00F60543"/>
    <w:rsid w:val="00F61604"/>
    <w:rsid w:val="00F66568"/>
    <w:rsid w:val="00F74E29"/>
    <w:rsid w:val="00F75916"/>
    <w:rsid w:val="00F8512F"/>
    <w:rsid w:val="00F940A3"/>
    <w:rsid w:val="00FA2A16"/>
    <w:rsid w:val="00FA30E5"/>
    <w:rsid w:val="00FA70BA"/>
    <w:rsid w:val="00FB5583"/>
    <w:rsid w:val="00FC1D85"/>
    <w:rsid w:val="00FD3301"/>
    <w:rsid w:val="00FD7E68"/>
    <w:rsid w:val="00FF1EB4"/>
    <w:rsid w:val="00FF66B1"/>
    <w:rsid w:val="2D3AC8BA"/>
    <w:rsid w:val="5C3C2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EC"/>
  </w:style>
  <w:style w:type="paragraph" w:styleId="Heading1">
    <w:name w:val="heading 1"/>
    <w:basedOn w:val="Normal"/>
    <w:next w:val="Normal"/>
    <w:link w:val="Heading1Char"/>
    <w:uiPriority w:val="9"/>
    <w:qFormat/>
    <w:rsid w:val="002F4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CA2EDA"/>
    <w:rPr>
      <w:rFonts w:ascii="Open Sans" w:hAnsi="Open Sans" w:cs="Open Sans"/>
      <w:b/>
      <w:color w:val="391160"/>
      <w:sz w:val="44"/>
      <w:szCs w:val="44"/>
    </w:rPr>
  </w:style>
  <w:style w:type="character" w:customStyle="1" w:styleId="WMHAheadingChar">
    <w:name w:val="WMHA heading Char"/>
    <w:basedOn w:val="DefaultParagraphFont"/>
    <w:link w:val="WMHAheading"/>
    <w:rsid w:val="00CA2EDA"/>
    <w:rPr>
      <w:rFonts w:ascii="Open Sans" w:hAnsi="Open Sans" w:cs="Open Sans"/>
      <w:b/>
      <w:color w:val="391160"/>
      <w:sz w:val="44"/>
      <w:szCs w:val="44"/>
    </w:rPr>
  </w:style>
  <w:style w:type="paragraph" w:customStyle="1" w:styleId="WMHAbodytext">
    <w:name w:val="WMHA body text"/>
    <w:basedOn w:val="Normal"/>
    <w:link w:val="WMHAbodytextChar"/>
    <w:autoRedefine/>
    <w:qFormat/>
    <w:rsid w:val="00ED4EDC"/>
    <w:rPr>
      <w:rFonts w:cstheme="minorHAnsi"/>
    </w:rPr>
  </w:style>
  <w:style w:type="paragraph" w:customStyle="1" w:styleId="WMHAsubheading">
    <w:name w:val="WMHA subheading"/>
    <w:basedOn w:val="WHVSubheading"/>
    <w:link w:val="WMHAsubheadingChar"/>
    <w:autoRedefine/>
    <w:qFormat/>
    <w:rsid w:val="00C1773C"/>
    <w:pPr>
      <w:spacing w:before="240" w:after="120"/>
      <w:contextualSpacing w:val="0"/>
    </w:pPr>
    <w:rPr>
      <w:rFonts w:ascii="Open Sans" w:eastAsiaTheme="minorHAnsi" w:hAnsi="Open Sans" w:cs="Open Sans"/>
      <w:sz w:val="28"/>
      <w:szCs w:val="28"/>
    </w:rPr>
  </w:style>
  <w:style w:type="character" w:customStyle="1" w:styleId="WMHAbodytextChar">
    <w:name w:val="WMHA body text Char"/>
    <w:basedOn w:val="DefaultParagraphFont"/>
    <w:link w:val="WMHAbodytext"/>
    <w:rsid w:val="00ED4EDC"/>
    <w:rPr>
      <w:rFonts w:cstheme="minorHAnsi"/>
    </w:rPr>
  </w:style>
  <w:style w:type="character" w:customStyle="1" w:styleId="WMHAsubheadingChar">
    <w:name w:val="WMHA subheading Char"/>
    <w:basedOn w:val="WHVSubheadingChar"/>
    <w:link w:val="WMHAsubheading"/>
    <w:rsid w:val="00C1773C"/>
    <w:rPr>
      <w:rFonts w:ascii="Open Sans" w:eastAsiaTheme="majorEastAsia" w:hAnsi="Open Sans" w:cs="Open Sans"/>
      <w:b/>
      <w:color w:val="E57200"/>
      <w:spacing w:val="-10"/>
      <w:kern w:val="28"/>
      <w:sz w:val="28"/>
      <w:szCs w:val="28"/>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Hyperlink">
    <w:name w:val="Hyperlink"/>
    <w:basedOn w:val="DefaultParagraphFont"/>
    <w:uiPriority w:val="99"/>
    <w:unhideWhenUsed/>
    <w:rsid w:val="0051768F"/>
    <w:rPr>
      <w:color w:val="0563C1" w:themeColor="hyperlink"/>
      <w:u w:val="single"/>
    </w:rPr>
  </w:style>
  <w:style w:type="character" w:styleId="UnresolvedMention">
    <w:name w:val="Unresolved Mention"/>
    <w:basedOn w:val="DefaultParagraphFont"/>
    <w:uiPriority w:val="99"/>
    <w:semiHidden/>
    <w:unhideWhenUsed/>
    <w:rsid w:val="0051768F"/>
    <w:rPr>
      <w:color w:val="605E5C"/>
      <w:shd w:val="clear" w:color="auto" w:fill="E1DFDD"/>
    </w:rPr>
  </w:style>
  <w:style w:type="paragraph" w:styleId="ListParagraph">
    <w:name w:val="List Paragraph"/>
    <w:aliases w:val="List Paragraph1,List Paragraph11,Recommendation,Bullet point,L,DDM Gen Text,List Paragraph - bullets,NFP GP Bulleted List,bullet point list,Bullet points,Content descriptions,Bullet Point,List Paragraph111,F5 List Paragraph,Dot pt,CV text"/>
    <w:basedOn w:val="Normal"/>
    <w:link w:val="ListParagraphChar"/>
    <w:uiPriority w:val="34"/>
    <w:qFormat/>
    <w:rsid w:val="0051768F"/>
    <w:pPr>
      <w:ind w:left="720"/>
      <w:contextualSpacing/>
    </w:pPr>
  </w:style>
  <w:style w:type="character" w:styleId="CommentReference">
    <w:name w:val="annotation reference"/>
    <w:basedOn w:val="DefaultParagraphFont"/>
    <w:uiPriority w:val="99"/>
    <w:semiHidden/>
    <w:unhideWhenUsed/>
    <w:rsid w:val="0051768F"/>
    <w:rPr>
      <w:sz w:val="16"/>
      <w:szCs w:val="16"/>
    </w:rPr>
  </w:style>
  <w:style w:type="paragraph" w:styleId="CommentText">
    <w:name w:val="annotation text"/>
    <w:basedOn w:val="Normal"/>
    <w:link w:val="CommentTextChar"/>
    <w:uiPriority w:val="99"/>
    <w:unhideWhenUsed/>
    <w:rsid w:val="0051768F"/>
    <w:pPr>
      <w:spacing w:line="240" w:lineRule="auto"/>
    </w:pPr>
    <w:rPr>
      <w:sz w:val="20"/>
      <w:szCs w:val="20"/>
    </w:rPr>
  </w:style>
  <w:style w:type="character" w:customStyle="1" w:styleId="CommentTextChar">
    <w:name w:val="Comment Text Char"/>
    <w:basedOn w:val="DefaultParagraphFont"/>
    <w:link w:val="CommentText"/>
    <w:uiPriority w:val="99"/>
    <w:rsid w:val="0051768F"/>
    <w:rPr>
      <w:sz w:val="20"/>
      <w:szCs w:val="20"/>
    </w:rPr>
  </w:style>
  <w:style w:type="paragraph" w:styleId="FootnoteText">
    <w:name w:val="footnote text"/>
    <w:basedOn w:val="Normal"/>
    <w:link w:val="FootnoteTextChar"/>
    <w:uiPriority w:val="99"/>
    <w:unhideWhenUsed/>
    <w:rsid w:val="0051768F"/>
    <w:pPr>
      <w:spacing w:after="0" w:line="240" w:lineRule="auto"/>
    </w:pPr>
    <w:rPr>
      <w:sz w:val="20"/>
      <w:szCs w:val="20"/>
    </w:rPr>
  </w:style>
  <w:style w:type="character" w:customStyle="1" w:styleId="FootnoteTextChar">
    <w:name w:val="Footnote Text Char"/>
    <w:basedOn w:val="DefaultParagraphFont"/>
    <w:link w:val="FootnoteText"/>
    <w:uiPriority w:val="99"/>
    <w:rsid w:val="0051768F"/>
    <w:rPr>
      <w:sz w:val="20"/>
      <w:szCs w:val="20"/>
    </w:rPr>
  </w:style>
  <w:style w:type="character" w:styleId="FootnoteReference">
    <w:name w:val="footnote reference"/>
    <w:aliases w:val="NO,Footnotes refss,Footnote number,Footnote"/>
    <w:basedOn w:val="DefaultParagraphFont"/>
    <w:uiPriority w:val="99"/>
    <w:unhideWhenUsed/>
    <w:rsid w:val="0051768F"/>
    <w:rPr>
      <w:vertAlign w:val="superscript"/>
    </w:rPr>
  </w:style>
  <w:style w:type="paragraph" w:styleId="PlainText">
    <w:name w:val="Plain Text"/>
    <w:basedOn w:val="Normal"/>
    <w:link w:val="PlainTextChar"/>
    <w:uiPriority w:val="99"/>
    <w:semiHidden/>
    <w:unhideWhenUsed/>
    <w:rsid w:val="005176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768F"/>
    <w:rPr>
      <w:rFonts w:ascii="Calibri" w:hAnsi="Calibri"/>
      <w:szCs w:val="21"/>
    </w:rPr>
  </w:style>
  <w:style w:type="paragraph" w:styleId="CommentSubject">
    <w:name w:val="annotation subject"/>
    <w:basedOn w:val="CommentText"/>
    <w:next w:val="CommentText"/>
    <w:link w:val="CommentSubjectChar"/>
    <w:uiPriority w:val="99"/>
    <w:semiHidden/>
    <w:unhideWhenUsed/>
    <w:rsid w:val="00B441C5"/>
    <w:rPr>
      <w:b/>
      <w:bCs/>
    </w:rPr>
  </w:style>
  <w:style w:type="character" w:customStyle="1" w:styleId="CommentSubjectChar">
    <w:name w:val="Comment Subject Char"/>
    <w:basedOn w:val="CommentTextChar"/>
    <w:link w:val="CommentSubject"/>
    <w:uiPriority w:val="99"/>
    <w:semiHidden/>
    <w:rsid w:val="00B441C5"/>
    <w:rPr>
      <w:b/>
      <w:bCs/>
      <w:sz w:val="20"/>
      <w:szCs w:val="20"/>
    </w:rPr>
  </w:style>
  <w:style w:type="paragraph" w:customStyle="1" w:styleId="pf0">
    <w:name w:val="pf0"/>
    <w:basedOn w:val="Normal"/>
    <w:rsid w:val="002D0B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D0B3F"/>
    <w:rPr>
      <w:rFonts w:ascii="Segoe UI" w:hAnsi="Segoe UI" w:cs="Segoe UI" w:hint="default"/>
      <w:sz w:val="18"/>
      <w:szCs w:val="18"/>
    </w:rPr>
  </w:style>
  <w:style w:type="character" w:customStyle="1" w:styleId="A10">
    <w:name w:val="A10"/>
    <w:uiPriority w:val="99"/>
    <w:rsid w:val="00496339"/>
    <w:rPr>
      <w:rFonts w:cs="VIC"/>
      <w:color w:val="000000"/>
      <w:sz w:val="11"/>
      <w:szCs w:val="11"/>
    </w:rPr>
  </w:style>
  <w:style w:type="paragraph" w:customStyle="1" w:styleId="Default">
    <w:name w:val="Default"/>
    <w:rsid w:val="00B6408F"/>
    <w:pPr>
      <w:autoSpaceDE w:val="0"/>
      <w:autoSpaceDN w:val="0"/>
      <w:adjustRightInd w:val="0"/>
      <w:spacing w:after="0" w:line="240" w:lineRule="auto"/>
    </w:pPr>
    <w:rPr>
      <w:rFonts w:ascii="VIC" w:hAnsi="VIC" w:cs="VIC"/>
      <w:color w:val="000000"/>
      <w:sz w:val="24"/>
      <w:szCs w:val="24"/>
    </w:rPr>
  </w:style>
  <w:style w:type="paragraph" w:customStyle="1" w:styleId="Pa10">
    <w:name w:val="Pa10"/>
    <w:basedOn w:val="Default"/>
    <w:next w:val="Default"/>
    <w:uiPriority w:val="99"/>
    <w:rsid w:val="00B6408F"/>
    <w:pPr>
      <w:spacing w:line="191" w:lineRule="atLeast"/>
    </w:pPr>
    <w:rPr>
      <w:rFonts w:cstheme="minorBidi"/>
      <w:color w:val="auto"/>
    </w:rPr>
  </w:style>
  <w:style w:type="character" w:customStyle="1" w:styleId="A7">
    <w:name w:val="A7"/>
    <w:uiPriority w:val="99"/>
    <w:rsid w:val="002B1256"/>
    <w:rPr>
      <w:rFonts w:cs="VIC"/>
      <w:color w:val="000000"/>
      <w:sz w:val="19"/>
      <w:szCs w:val="19"/>
    </w:rPr>
  </w:style>
  <w:style w:type="paragraph" w:styleId="NormalWeb">
    <w:name w:val="Normal (Web)"/>
    <w:basedOn w:val="Normal"/>
    <w:uiPriority w:val="99"/>
    <w:semiHidden/>
    <w:unhideWhenUsed/>
    <w:rsid w:val="004311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11">
    <w:name w:val="cf11"/>
    <w:basedOn w:val="DefaultParagraphFont"/>
    <w:rsid w:val="00976729"/>
    <w:rPr>
      <w:rFonts w:ascii="Segoe UI" w:hAnsi="Segoe UI" w:cs="Segoe UI" w:hint="default"/>
      <w:b/>
      <w:bCs/>
      <w:sz w:val="18"/>
      <w:szCs w:val="18"/>
    </w:rPr>
  </w:style>
  <w:style w:type="character" w:customStyle="1" w:styleId="cf31">
    <w:name w:val="cf31"/>
    <w:basedOn w:val="DefaultParagraphFont"/>
    <w:rsid w:val="00976729"/>
    <w:rPr>
      <w:rFonts w:ascii="Segoe UI" w:hAnsi="Segoe UI" w:cs="Segoe UI" w:hint="default"/>
      <w:sz w:val="18"/>
      <w:szCs w:val="18"/>
      <w:shd w:val="clear" w:color="auto" w:fill="FFFF00"/>
    </w:rPr>
  </w:style>
  <w:style w:type="character" w:styleId="Strong">
    <w:name w:val="Strong"/>
    <w:basedOn w:val="DefaultParagraphFont"/>
    <w:uiPriority w:val="22"/>
    <w:qFormat/>
    <w:rsid w:val="00B55D92"/>
    <w:rPr>
      <w:rFonts w:ascii="Times New Roman" w:eastAsia="Times New Roman" w:hAnsi="Times New Roman" w:cs="Times New Roman" w:hint="default"/>
      <w:b/>
      <w:bCs/>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link w:val="ListParagraph"/>
    <w:uiPriority w:val="34"/>
    <w:locked/>
    <w:rsid w:val="00B55D92"/>
  </w:style>
  <w:style w:type="character" w:styleId="FollowedHyperlink">
    <w:name w:val="FollowedHyperlink"/>
    <w:basedOn w:val="DefaultParagraphFont"/>
    <w:uiPriority w:val="99"/>
    <w:semiHidden/>
    <w:unhideWhenUsed/>
    <w:rsid w:val="0005335F"/>
    <w:rPr>
      <w:color w:val="954F72" w:themeColor="followedHyperlink"/>
      <w:u w:val="single"/>
    </w:rPr>
  </w:style>
  <w:style w:type="character" w:styleId="Emphasis">
    <w:name w:val="Emphasis"/>
    <w:basedOn w:val="DefaultParagraphFont"/>
    <w:uiPriority w:val="20"/>
    <w:qFormat/>
    <w:rsid w:val="00C41134"/>
    <w:rPr>
      <w:i/>
      <w:iCs/>
    </w:rPr>
  </w:style>
  <w:style w:type="character" w:customStyle="1" w:styleId="Heading1Char">
    <w:name w:val="Heading 1 Char"/>
    <w:basedOn w:val="DefaultParagraphFont"/>
    <w:link w:val="Heading1"/>
    <w:uiPriority w:val="9"/>
    <w:rsid w:val="002F49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773C"/>
    <w:pPr>
      <w:outlineLvl w:val="9"/>
    </w:pPr>
    <w:rPr>
      <w:lang w:val="en-US"/>
    </w:rPr>
  </w:style>
  <w:style w:type="character" w:customStyle="1" w:styleId="normaltextrun">
    <w:name w:val="normaltextrun"/>
    <w:basedOn w:val="DefaultParagraphFont"/>
    <w:rsid w:val="002875BA"/>
  </w:style>
  <w:style w:type="character" w:customStyle="1" w:styleId="eop">
    <w:name w:val="eop"/>
    <w:basedOn w:val="DefaultParagraphFont"/>
    <w:rsid w:val="002875BA"/>
  </w:style>
  <w:style w:type="paragraph" w:styleId="EndnoteText">
    <w:name w:val="endnote text"/>
    <w:basedOn w:val="Normal"/>
    <w:link w:val="EndnoteTextChar"/>
    <w:uiPriority w:val="99"/>
    <w:semiHidden/>
    <w:unhideWhenUsed/>
    <w:rsid w:val="00895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FD6"/>
    <w:rPr>
      <w:sz w:val="20"/>
      <w:szCs w:val="20"/>
    </w:rPr>
  </w:style>
  <w:style w:type="character" w:styleId="EndnoteReference">
    <w:name w:val="endnote reference"/>
    <w:basedOn w:val="DefaultParagraphFont"/>
    <w:uiPriority w:val="99"/>
    <w:semiHidden/>
    <w:unhideWhenUsed/>
    <w:rsid w:val="00895FD6"/>
    <w:rPr>
      <w:vertAlign w:val="superscript"/>
    </w:rPr>
  </w:style>
  <w:style w:type="paragraph" w:customStyle="1" w:styleId="paragraph">
    <w:name w:val="paragraph"/>
    <w:basedOn w:val="Normal"/>
    <w:rsid w:val="00D852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HRCbody">
    <w:name w:val="MHRC body"/>
    <w:qFormat/>
    <w:rsid w:val="00871F4B"/>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676">
      <w:bodyDiv w:val="1"/>
      <w:marLeft w:val="0"/>
      <w:marRight w:val="0"/>
      <w:marTop w:val="0"/>
      <w:marBottom w:val="0"/>
      <w:divBdr>
        <w:top w:val="none" w:sz="0" w:space="0" w:color="auto"/>
        <w:left w:val="none" w:sz="0" w:space="0" w:color="auto"/>
        <w:bottom w:val="none" w:sz="0" w:space="0" w:color="auto"/>
        <w:right w:val="none" w:sz="0" w:space="0" w:color="auto"/>
      </w:divBdr>
    </w:div>
    <w:div w:id="65961165">
      <w:bodyDiv w:val="1"/>
      <w:marLeft w:val="0"/>
      <w:marRight w:val="0"/>
      <w:marTop w:val="0"/>
      <w:marBottom w:val="0"/>
      <w:divBdr>
        <w:top w:val="none" w:sz="0" w:space="0" w:color="auto"/>
        <w:left w:val="none" w:sz="0" w:space="0" w:color="auto"/>
        <w:bottom w:val="none" w:sz="0" w:space="0" w:color="auto"/>
        <w:right w:val="none" w:sz="0" w:space="0" w:color="auto"/>
      </w:divBdr>
    </w:div>
    <w:div w:id="182061725">
      <w:bodyDiv w:val="1"/>
      <w:marLeft w:val="0"/>
      <w:marRight w:val="0"/>
      <w:marTop w:val="0"/>
      <w:marBottom w:val="0"/>
      <w:divBdr>
        <w:top w:val="none" w:sz="0" w:space="0" w:color="auto"/>
        <w:left w:val="none" w:sz="0" w:space="0" w:color="auto"/>
        <w:bottom w:val="none" w:sz="0" w:space="0" w:color="auto"/>
        <w:right w:val="none" w:sz="0" w:space="0" w:color="auto"/>
      </w:divBdr>
    </w:div>
    <w:div w:id="188301784">
      <w:bodyDiv w:val="1"/>
      <w:marLeft w:val="0"/>
      <w:marRight w:val="0"/>
      <w:marTop w:val="0"/>
      <w:marBottom w:val="0"/>
      <w:divBdr>
        <w:top w:val="none" w:sz="0" w:space="0" w:color="auto"/>
        <w:left w:val="none" w:sz="0" w:space="0" w:color="auto"/>
        <w:bottom w:val="none" w:sz="0" w:space="0" w:color="auto"/>
        <w:right w:val="none" w:sz="0" w:space="0" w:color="auto"/>
      </w:divBdr>
    </w:div>
    <w:div w:id="230581375">
      <w:bodyDiv w:val="1"/>
      <w:marLeft w:val="0"/>
      <w:marRight w:val="0"/>
      <w:marTop w:val="0"/>
      <w:marBottom w:val="0"/>
      <w:divBdr>
        <w:top w:val="none" w:sz="0" w:space="0" w:color="auto"/>
        <w:left w:val="none" w:sz="0" w:space="0" w:color="auto"/>
        <w:bottom w:val="none" w:sz="0" w:space="0" w:color="auto"/>
        <w:right w:val="none" w:sz="0" w:space="0" w:color="auto"/>
      </w:divBdr>
    </w:div>
    <w:div w:id="281151791">
      <w:bodyDiv w:val="1"/>
      <w:marLeft w:val="0"/>
      <w:marRight w:val="0"/>
      <w:marTop w:val="0"/>
      <w:marBottom w:val="0"/>
      <w:divBdr>
        <w:top w:val="none" w:sz="0" w:space="0" w:color="auto"/>
        <w:left w:val="none" w:sz="0" w:space="0" w:color="auto"/>
        <w:bottom w:val="none" w:sz="0" w:space="0" w:color="auto"/>
        <w:right w:val="none" w:sz="0" w:space="0" w:color="auto"/>
      </w:divBdr>
    </w:div>
    <w:div w:id="303972582">
      <w:bodyDiv w:val="1"/>
      <w:marLeft w:val="0"/>
      <w:marRight w:val="0"/>
      <w:marTop w:val="0"/>
      <w:marBottom w:val="0"/>
      <w:divBdr>
        <w:top w:val="none" w:sz="0" w:space="0" w:color="auto"/>
        <w:left w:val="none" w:sz="0" w:space="0" w:color="auto"/>
        <w:bottom w:val="none" w:sz="0" w:space="0" w:color="auto"/>
        <w:right w:val="none" w:sz="0" w:space="0" w:color="auto"/>
      </w:divBdr>
    </w:div>
    <w:div w:id="314919744">
      <w:bodyDiv w:val="1"/>
      <w:marLeft w:val="0"/>
      <w:marRight w:val="0"/>
      <w:marTop w:val="0"/>
      <w:marBottom w:val="0"/>
      <w:divBdr>
        <w:top w:val="none" w:sz="0" w:space="0" w:color="auto"/>
        <w:left w:val="none" w:sz="0" w:space="0" w:color="auto"/>
        <w:bottom w:val="none" w:sz="0" w:space="0" w:color="auto"/>
        <w:right w:val="none" w:sz="0" w:space="0" w:color="auto"/>
      </w:divBdr>
    </w:div>
    <w:div w:id="407463805">
      <w:bodyDiv w:val="1"/>
      <w:marLeft w:val="0"/>
      <w:marRight w:val="0"/>
      <w:marTop w:val="0"/>
      <w:marBottom w:val="0"/>
      <w:divBdr>
        <w:top w:val="none" w:sz="0" w:space="0" w:color="auto"/>
        <w:left w:val="none" w:sz="0" w:space="0" w:color="auto"/>
        <w:bottom w:val="none" w:sz="0" w:space="0" w:color="auto"/>
        <w:right w:val="none" w:sz="0" w:space="0" w:color="auto"/>
      </w:divBdr>
    </w:div>
    <w:div w:id="565729502">
      <w:bodyDiv w:val="1"/>
      <w:marLeft w:val="0"/>
      <w:marRight w:val="0"/>
      <w:marTop w:val="0"/>
      <w:marBottom w:val="0"/>
      <w:divBdr>
        <w:top w:val="none" w:sz="0" w:space="0" w:color="auto"/>
        <w:left w:val="none" w:sz="0" w:space="0" w:color="auto"/>
        <w:bottom w:val="none" w:sz="0" w:space="0" w:color="auto"/>
        <w:right w:val="none" w:sz="0" w:space="0" w:color="auto"/>
      </w:divBdr>
    </w:div>
    <w:div w:id="668755123">
      <w:bodyDiv w:val="1"/>
      <w:marLeft w:val="0"/>
      <w:marRight w:val="0"/>
      <w:marTop w:val="0"/>
      <w:marBottom w:val="0"/>
      <w:divBdr>
        <w:top w:val="none" w:sz="0" w:space="0" w:color="auto"/>
        <w:left w:val="none" w:sz="0" w:space="0" w:color="auto"/>
        <w:bottom w:val="none" w:sz="0" w:space="0" w:color="auto"/>
        <w:right w:val="none" w:sz="0" w:space="0" w:color="auto"/>
      </w:divBdr>
    </w:div>
    <w:div w:id="755635625">
      <w:bodyDiv w:val="1"/>
      <w:marLeft w:val="0"/>
      <w:marRight w:val="0"/>
      <w:marTop w:val="0"/>
      <w:marBottom w:val="0"/>
      <w:divBdr>
        <w:top w:val="none" w:sz="0" w:space="0" w:color="auto"/>
        <w:left w:val="none" w:sz="0" w:space="0" w:color="auto"/>
        <w:bottom w:val="none" w:sz="0" w:space="0" w:color="auto"/>
        <w:right w:val="none" w:sz="0" w:space="0" w:color="auto"/>
      </w:divBdr>
    </w:div>
    <w:div w:id="755902425">
      <w:bodyDiv w:val="1"/>
      <w:marLeft w:val="0"/>
      <w:marRight w:val="0"/>
      <w:marTop w:val="0"/>
      <w:marBottom w:val="0"/>
      <w:divBdr>
        <w:top w:val="none" w:sz="0" w:space="0" w:color="auto"/>
        <w:left w:val="none" w:sz="0" w:space="0" w:color="auto"/>
        <w:bottom w:val="none" w:sz="0" w:space="0" w:color="auto"/>
        <w:right w:val="none" w:sz="0" w:space="0" w:color="auto"/>
      </w:divBdr>
    </w:div>
    <w:div w:id="760567365">
      <w:bodyDiv w:val="1"/>
      <w:marLeft w:val="0"/>
      <w:marRight w:val="0"/>
      <w:marTop w:val="0"/>
      <w:marBottom w:val="0"/>
      <w:divBdr>
        <w:top w:val="none" w:sz="0" w:space="0" w:color="auto"/>
        <w:left w:val="none" w:sz="0" w:space="0" w:color="auto"/>
        <w:bottom w:val="none" w:sz="0" w:space="0" w:color="auto"/>
        <w:right w:val="none" w:sz="0" w:space="0" w:color="auto"/>
      </w:divBdr>
    </w:div>
    <w:div w:id="804349140">
      <w:bodyDiv w:val="1"/>
      <w:marLeft w:val="0"/>
      <w:marRight w:val="0"/>
      <w:marTop w:val="0"/>
      <w:marBottom w:val="0"/>
      <w:divBdr>
        <w:top w:val="none" w:sz="0" w:space="0" w:color="auto"/>
        <w:left w:val="none" w:sz="0" w:space="0" w:color="auto"/>
        <w:bottom w:val="none" w:sz="0" w:space="0" w:color="auto"/>
        <w:right w:val="none" w:sz="0" w:space="0" w:color="auto"/>
      </w:divBdr>
    </w:div>
    <w:div w:id="811020993">
      <w:bodyDiv w:val="1"/>
      <w:marLeft w:val="0"/>
      <w:marRight w:val="0"/>
      <w:marTop w:val="0"/>
      <w:marBottom w:val="0"/>
      <w:divBdr>
        <w:top w:val="none" w:sz="0" w:space="0" w:color="auto"/>
        <w:left w:val="none" w:sz="0" w:space="0" w:color="auto"/>
        <w:bottom w:val="none" w:sz="0" w:space="0" w:color="auto"/>
        <w:right w:val="none" w:sz="0" w:space="0" w:color="auto"/>
      </w:divBdr>
    </w:div>
    <w:div w:id="858810540">
      <w:bodyDiv w:val="1"/>
      <w:marLeft w:val="0"/>
      <w:marRight w:val="0"/>
      <w:marTop w:val="0"/>
      <w:marBottom w:val="0"/>
      <w:divBdr>
        <w:top w:val="none" w:sz="0" w:space="0" w:color="auto"/>
        <w:left w:val="none" w:sz="0" w:space="0" w:color="auto"/>
        <w:bottom w:val="none" w:sz="0" w:space="0" w:color="auto"/>
        <w:right w:val="none" w:sz="0" w:space="0" w:color="auto"/>
      </w:divBdr>
      <w:divsChild>
        <w:div w:id="995450634">
          <w:marLeft w:val="720"/>
          <w:marRight w:val="0"/>
          <w:marTop w:val="134"/>
          <w:marBottom w:val="160"/>
          <w:divBdr>
            <w:top w:val="none" w:sz="0" w:space="0" w:color="auto"/>
            <w:left w:val="none" w:sz="0" w:space="0" w:color="auto"/>
            <w:bottom w:val="none" w:sz="0" w:space="0" w:color="auto"/>
            <w:right w:val="none" w:sz="0" w:space="0" w:color="auto"/>
          </w:divBdr>
        </w:div>
      </w:divsChild>
    </w:div>
    <w:div w:id="893003778">
      <w:bodyDiv w:val="1"/>
      <w:marLeft w:val="0"/>
      <w:marRight w:val="0"/>
      <w:marTop w:val="0"/>
      <w:marBottom w:val="0"/>
      <w:divBdr>
        <w:top w:val="none" w:sz="0" w:space="0" w:color="auto"/>
        <w:left w:val="none" w:sz="0" w:space="0" w:color="auto"/>
        <w:bottom w:val="none" w:sz="0" w:space="0" w:color="auto"/>
        <w:right w:val="none" w:sz="0" w:space="0" w:color="auto"/>
      </w:divBdr>
    </w:div>
    <w:div w:id="966202390">
      <w:bodyDiv w:val="1"/>
      <w:marLeft w:val="0"/>
      <w:marRight w:val="0"/>
      <w:marTop w:val="0"/>
      <w:marBottom w:val="0"/>
      <w:divBdr>
        <w:top w:val="none" w:sz="0" w:space="0" w:color="auto"/>
        <w:left w:val="none" w:sz="0" w:space="0" w:color="auto"/>
        <w:bottom w:val="none" w:sz="0" w:space="0" w:color="auto"/>
        <w:right w:val="none" w:sz="0" w:space="0" w:color="auto"/>
      </w:divBdr>
    </w:div>
    <w:div w:id="1012879346">
      <w:bodyDiv w:val="1"/>
      <w:marLeft w:val="0"/>
      <w:marRight w:val="0"/>
      <w:marTop w:val="0"/>
      <w:marBottom w:val="0"/>
      <w:divBdr>
        <w:top w:val="none" w:sz="0" w:space="0" w:color="auto"/>
        <w:left w:val="none" w:sz="0" w:space="0" w:color="auto"/>
        <w:bottom w:val="none" w:sz="0" w:space="0" w:color="auto"/>
        <w:right w:val="none" w:sz="0" w:space="0" w:color="auto"/>
      </w:divBdr>
    </w:div>
    <w:div w:id="1124889021">
      <w:bodyDiv w:val="1"/>
      <w:marLeft w:val="0"/>
      <w:marRight w:val="0"/>
      <w:marTop w:val="0"/>
      <w:marBottom w:val="0"/>
      <w:divBdr>
        <w:top w:val="none" w:sz="0" w:space="0" w:color="auto"/>
        <w:left w:val="none" w:sz="0" w:space="0" w:color="auto"/>
        <w:bottom w:val="none" w:sz="0" w:space="0" w:color="auto"/>
        <w:right w:val="none" w:sz="0" w:space="0" w:color="auto"/>
      </w:divBdr>
    </w:div>
    <w:div w:id="1141192025">
      <w:bodyDiv w:val="1"/>
      <w:marLeft w:val="0"/>
      <w:marRight w:val="0"/>
      <w:marTop w:val="0"/>
      <w:marBottom w:val="0"/>
      <w:divBdr>
        <w:top w:val="none" w:sz="0" w:space="0" w:color="auto"/>
        <w:left w:val="none" w:sz="0" w:space="0" w:color="auto"/>
        <w:bottom w:val="none" w:sz="0" w:space="0" w:color="auto"/>
        <w:right w:val="none" w:sz="0" w:space="0" w:color="auto"/>
      </w:divBdr>
    </w:div>
    <w:div w:id="1153452248">
      <w:bodyDiv w:val="1"/>
      <w:marLeft w:val="0"/>
      <w:marRight w:val="0"/>
      <w:marTop w:val="0"/>
      <w:marBottom w:val="0"/>
      <w:divBdr>
        <w:top w:val="none" w:sz="0" w:space="0" w:color="auto"/>
        <w:left w:val="none" w:sz="0" w:space="0" w:color="auto"/>
        <w:bottom w:val="none" w:sz="0" w:space="0" w:color="auto"/>
        <w:right w:val="none" w:sz="0" w:space="0" w:color="auto"/>
      </w:divBdr>
    </w:div>
    <w:div w:id="1271932186">
      <w:bodyDiv w:val="1"/>
      <w:marLeft w:val="0"/>
      <w:marRight w:val="0"/>
      <w:marTop w:val="0"/>
      <w:marBottom w:val="0"/>
      <w:divBdr>
        <w:top w:val="none" w:sz="0" w:space="0" w:color="auto"/>
        <w:left w:val="none" w:sz="0" w:space="0" w:color="auto"/>
        <w:bottom w:val="none" w:sz="0" w:space="0" w:color="auto"/>
        <w:right w:val="none" w:sz="0" w:space="0" w:color="auto"/>
      </w:divBdr>
    </w:div>
    <w:div w:id="1272056714">
      <w:bodyDiv w:val="1"/>
      <w:marLeft w:val="0"/>
      <w:marRight w:val="0"/>
      <w:marTop w:val="0"/>
      <w:marBottom w:val="0"/>
      <w:divBdr>
        <w:top w:val="none" w:sz="0" w:space="0" w:color="auto"/>
        <w:left w:val="none" w:sz="0" w:space="0" w:color="auto"/>
        <w:bottom w:val="none" w:sz="0" w:space="0" w:color="auto"/>
        <w:right w:val="none" w:sz="0" w:space="0" w:color="auto"/>
      </w:divBdr>
    </w:div>
    <w:div w:id="1307469209">
      <w:bodyDiv w:val="1"/>
      <w:marLeft w:val="0"/>
      <w:marRight w:val="0"/>
      <w:marTop w:val="0"/>
      <w:marBottom w:val="0"/>
      <w:divBdr>
        <w:top w:val="none" w:sz="0" w:space="0" w:color="auto"/>
        <w:left w:val="none" w:sz="0" w:space="0" w:color="auto"/>
        <w:bottom w:val="none" w:sz="0" w:space="0" w:color="auto"/>
        <w:right w:val="none" w:sz="0" w:space="0" w:color="auto"/>
      </w:divBdr>
    </w:div>
    <w:div w:id="1349990256">
      <w:bodyDiv w:val="1"/>
      <w:marLeft w:val="0"/>
      <w:marRight w:val="0"/>
      <w:marTop w:val="0"/>
      <w:marBottom w:val="0"/>
      <w:divBdr>
        <w:top w:val="none" w:sz="0" w:space="0" w:color="auto"/>
        <w:left w:val="none" w:sz="0" w:space="0" w:color="auto"/>
        <w:bottom w:val="none" w:sz="0" w:space="0" w:color="auto"/>
        <w:right w:val="none" w:sz="0" w:space="0" w:color="auto"/>
      </w:divBdr>
    </w:div>
    <w:div w:id="1408334478">
      <w:bodyDiv w:val="1"/>
      <w:marLeft w:val="0"/>
      <w:marRight w:val="0"/>
      <w:marTop w:val="0"/>
      <w:marBottom w:val="0"/>
      <w:divBdr>
        <w:top w:val="none" w:sz="0" w:space="0" w:color="auto"/>
        <w:left w:val="none" w:sz="0" w:space="0" w:color="auto"/>
        <w:bottom w:val="none" w:sz="0" w:space="0" w:color="auto"/>
        <w:right w:val="none" w:sz="0" w:space="0" w:color="auto"/>
      </w:divBdr>
    </w:div>
    <w:div w:id="1413432614">
      <w:bodyDiv w:val="1"/>
      <w:marLeft w:val="0"/>
      <w:marRight w:val="0"/>
      <w:marTop w:val="0"/>
      <w:marBottom w:val="0"/>
      <w:divBdr>
        <w:top w:val="none" w:sz="0" w:space="0" w:color="auto"/>
        <w:left w:val="none" w:sz="0" w:space="0" w:color="auto"/>
        <w:bottom w:val="none" w:sz="0" w:space="0" w:color="auto"/>
        <w:right w:val="none" w:sz="0" w:space="0" w:color="auto"/>
      </w:divBdr>
    </w:div>
    <w:div w:id="1482425739">
      <w:bodyDiv w:val="1"/>
      <w:marLeft w:val="0"/>
      <w:marRight w:val="0"/>
      <w:marTop w:val="0"/>
      <w:marBottom w:val="0"/>
      <w:divBdr>
        <w:top w:val="none" w:sz="0" w:space="0" w:color="auto"/>
        <w:left w:val="none" w:sz="0" w:space="0" w:color="auto"/>
        <w:bottom w:val="none" w:sz="0" w:space="0" w:color="auto"/>
        <w:right w:val="none" w:sz="0" w:space="0" w:color="auto"/>
      </w:divBdr>
    </w:div>
    <w:div w:id="1507936972">
      <w:bodyDiv w:val="1"/>
      <w:marLeft w:val="0"/>
      <w:marRight w:val="0"/>
      <w:marTop w:val="0"/>
      <w:marBottom w:val="0"/>
      <w:divBdr>
        <w:top w:val="none" w:sz="0" w:space="0" w:color="auto"/>
        <w:left w:val="none" w:sz="0" w:space="0" w:color="auto"/>
        <w:bottom w:val="none" w:sz="0" w:space="0" w:color="auto"/>
        <w:right w:val="none" w:sz="0" w:space="0" w:color="auto"/>
      </w:divBdr>
    </w:div>
    <w:div w:id="1536969842">
      <w:bodyDiv w:val="1"/>
      <w:marLeft w:val="0"/>
      <w:marRight w:val="0"/>
      <w:marTop w:val="0"/>
      <w:marBottom w:val="0"/>
      <w:divBdr>
        <w:top w:val="none" w:sz="0" w:space="0" w:color="auto"/>
        <w:left w:val="none" w:sz="0" w:space="0" w:color="auto"/>
        <w:bottom w:val="none" w:sz="0" w:space="0" w:color="auto"/>
        <w:right w:val="none" w:sz="0" w:space="0" w:color="auto"/>
      </w:divBdr>
    </w:div>
    <w:div w:id="1554922617">
      <w:bodyDiv w:val="1"/>
      <w:marLeft w:val="0"/>
      <w:marRight w:val="0"/>
      <w:marTop w:val="0"/>
      <w:marBottom w:val="0"/>
      <w:divBdr>
        <w:top w:val="none" w:sz="0" w:space="0" w:color="auto"/>
        <w:left w:val="none" w:sz="0" w:space="0" w:color="auto"/>
        <w:bottom w:val="none" w:sz="0" w:space="0" w:color="auto"/>
        <w:right w:val="none" w:sz="0" w:space="0" w:color="auto"/>
      </w:divBdr>
    </w:div>
    <w:div w:id="1603874437">
      <w:bodyDiv w:val="1"/>
      <w:marLeft w:val="0"/>
      <w:marRight w:val="0"/>
      <w:marTop w:val="0"/>
      <w:marBottom w:val="0"/>
      <w:divBdr>
        <w:top w:val="none" w:sz="0" w:space="0" w:color="auto"/>
        <w:left w:val="none" w:sz="0" w:space="0" w:color="auto"/>
        <w:bottom w:val="none" w:sz="0" w:space="0" w:color="auto"/>
        <w:right w:val="none" w:sz="0" w:space="0" w:color="auto"/>
      </w:divBdr>
    </w:div>
    <w:div w:id="1614508292">
      <w:bodyDiv w:val="1"/>
      <w:marLeft w:val="0"/>
      <w:marRight w:val="0"/>
      <w:marTop w:val="0"/>
      <w:marBottom w:val="0"/>
      <w:divBdr>
        <w:top w:val="none" w:sz="0" w:space="0" w:color="auto"/>
        <w:left w:val="none" w:sz="0" w:space="0" w:color="auto"/>
        <w:bottom w:val="none" w:sz="0" w:space="0" w:color="auto"/>
        <w:right w:val="none" w:sz="0" w:space="0" w:color="auto"/>
      </w:divBdr>
    </w:div>
    <w:div w:id="1767382948">
      <w:bodyDiv w:val="1"/>
      <w:marLeft w:val="0"/>
      <w:marRight w:val="0"/>
      <w:marTop w:val="0"/>
      <w:marBottom w:val="0"/>
      <w:divBdr>
        <w:top w:val="none" w:sz="0" w:space="0" w:color="auto"/>
        <w:left w:val="none" w:sz="0" w:space="0" w:color="auto"/>
        <w:bottom w:val="none" w:sz="0" w:space="0" w:color="auto"/>
        <w:right w:val="none" w:sz="0" w:space="0" w:color="auto"/>
      </w:divBdr>
    </w:div>
    <w:div w:id="1854609094">
      <w:bodyDiv w:val="1"/>
      <w:marLeft w:val="0"/>
      <w:marRight w:val="0"/>
      <w:marTop w:val="0"/>
      <w:marBottom w:val="0"/>
      <w:divBdr>
        <w:top w:val="none" w:sz="0" w:space="0" w:color="auto"/>
        <w:left w:val="none" w:sz="0" w:space="0" w:color="auto"/>
        <w:bottom w:val="none" w:sz="0" w:space="0" w:color="auto"/>
        <w:right w:val="none" w:sz="0" w:space="0" w:color="auto"/>
      </w:divBdr>
    </w:div>
    <w:div w:id="1909341538">
      <w:bodyDiv w:val="1"/>
      <w:marLeft w:val="0"/>
      <w:marRight w:val="0"/>
      <w:marTop w:val="0"/>
      <w:marBottom w:val="0"/>
      <w:divBdr>
        <w:top w:val="none" w:sz="0" w:space="0" w:color="auto"/>
        <w:left w:val="none" w:sz="0" w:space="0" w:color="auto"/>
        <w:bottom w:val="none" w:sz="0" w:space="0" w:color="auto"/>
        <w:right w:val="none" w:sz="0" w:space="0" w:color="auto"/>
      </w:divBdr>
    </w:div>
    <w:div w:id="1933201732">
      <w:bodyDiv w:val="1"/>
      <w:marLeft w:val="0"/>
      <w:marRight w:val="0"/>
      <w:marTop w:val="0"/>
      <w:marBottom w:val="0"/>
      <w:divBdr>
        <w:top w:val="none" w:sz="0" w:space="0" w:color="auto"/>
        <w:left w:val="none" w:sz="0" w:space="0" w:color="auto"/>
        <w:bottom w:val="none" w:sz="0" w:space="0" w:color="auto"/>
        <w:right w:val="none" w:sz="0" w:space="0" w:color="auto"/>
      </w:divBdr>
    </w:div>
    <w:div w:id="1992757459">
      <w:bodyDiv w:val="1"/>
      <w:marLeft w:val="0"/>
      <w:marRight w:val="0"/>
      <w:marTop w:val="0"/>
      <w:marBottom w:val="0"/>
      <w:divBdr>
        <w:top w:val="none" w:sz="0" w:space="0" w:color="auto"/>
        <w:left w:val="none" w:sz="0" w:space="0" w:color="auto"/>
        <w:bottom w:val="none" w:sz="0" w:space="0" w:color="auto"/>
        <w:right w:val="none" w:sz="0" w:space="0" w:color="auto"/>
      </w:divBdr>
    </w:div>
    <w:div w:id="2009945538">
      <w:bodyDiv w:val="1"/>
      <w:marLeft w:val="0"/>
      <w:marRight w:val="0"/>
      <w:marTop w:val="0"/>
      <w:marBottom w:val="0"/>
      <w:divBdr>
        <w:top w:val="none" w:sz="0" w:space="0" w:color="auto"/>
        <w:left w:val="none" w:sz="0" w:space="0" w:color="auto"/>
        <w:bottom w:val="none" w:sz="0" w:space="0" w:color="auto"/>
        <w:right w:val="none" w:sz="0" w:space="0" w:color="auto"/>
      </w:divBdr>
    </w:div>
    <w:div w:id="2074086899">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rc.org.au/womens-clin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outhsafe.com.au/wp-content/uploads/2018/03/Program-Guidelines_SFV-Advisor-Capacity-Building-Program_Feb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womens.org.au/health-professionals/clinical-resources/strengthening-hospitals-response-to-family-violence"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anrows.org.au/publication/implementing-trauma-informed-systems-of-care-in-health-settings-the-with-study-state-of-knowledge-paper/" TargetMode="External"/><Relationship Id="rId18" Type="http://schemas.openxmlformats.org/officeDocument/2006/relationships/hyperlink" Target="https://www.mhcc.org.au/wp-content/uploads/2018/05/ticp_awg_position_paper__v_44_final___07_11_13-1.pdf" TargetMode="External"/><Relationship Id="rId26" Type="http://schemas.openxmlformats.org/officeDocument/2006/relationships/hyperlink" Target="https://whv.org.au/resources/whv-publications/submission-royal-commission-victorias-mental-health-system" TargetMode="External"/><Relationship Id="rId39" Type="http://schemas.openxmlformats.org/officeDocument/2006/relationships/hyperlink" Target="https://www.anrows.org.au/publication/violence-against-women-and-mental-health/" TargetMode="External"/><Relationship Id="rId21" Type="http://schemas.openxmlformats.org/officeDocument/2006/relationships/hyperlink" Target="https://www.anrows.org.au/publication/womens-input-into-a-trauma-informed-systems-model-of-care-in-health-settings-the-with-study-final-report/" TargetMode="External"/><Relationship Id="rId34" Type="http://schemas.openxmlformats.org/officeDocument/2006/relationships/hyperlink" Target="https://apo.org.au/sites/default/files/resource-files/2016-07/apo-nid56174.pdf" TargetMode="External"/><Relationship Id="rId42" Type="http://schemas.openxmlformats.org/officeDocument/2006/relationships/hyperlink" Target="https://journalofethics.ama-assn.org/article/ghost-schizophrenogenic-mother/2013-09" TargetMode="External"/><Relationship Id="rId7" Type="http://schemas.openxmlformats.org/officeDocument/2006/relationships/hyperlink" Target="https://onlinelibrary.wiley.com/doi/full/10.1002/wps.20694" TargetMode="External"/><Relationship Id="rId2" Type="http://schemas.openxmlformats.org/officeDocument/2006/relationships/hyperlink" Target="https://whv.org.au/resources/whv-publications/snapshot-australian-womens-mental-health" TargetMode="External"/><Relationship Id="rId16" Type="http://schemas.openxmlformats.org/officeDocument/2006/relationships/hyperlink" Target="https://www.anrows.org.au/publication/implementing-trauma-informed-systems-of-care-in-health-settings-the-with-study-state-of-knowledge-paper/" TargetMode="External"/><Relationship Id="rId20" Type="http://schemas.openxmlformats.org/officeDocument/2006/relationships/hyperlink" Target="https://www.anrows.org.au/publication/womens-input-into-a-trauma-informed-systems-model-of-care-in-health-settings-the-with-study-final-report/" TargetMode="External"/><Relationship Id="rId29" Type="http://schemas.openxmlformats.org/officeDocument/2006/relationships/hyperlink" Target="https://finalreport.rcvmhs.vic.gov.au/wp-content/uploads/2021/03/RCVMHS_FinalReport_Vol4_Accessible.pdf" TargetMode="External"/><Relationship Id="rId41" Type="http://schemas.openxmlformats.org/officeDocument/2006/relationships/hyperlink" Target="https://journals.sagepub.com/doi/abs/10.1177/088610999000500103" TargetMode="External"/><Relationship Id="rId1" Type="http://schemas.openxmlformats.org/officeDocument/2006/relationships/hyperlink" Target="https://apps.who.int/iris/bitstream/handle/10665/112828/9789241506809_eng.pdf;jsessionid=9FFA09B37490BDF1EA188EF2E0F10B30?sequence=1" TargetMode="External"/><Relationship Id="rId6" Type="http://schemas.openxmlformats.org/officeDocument/2006/relationships/hyperlink" Target="https://www.bma.org.uk/media/2115/bma-womens-mental-health-report-aug-2018.pdf" TargetMode="External"/><Relationship Id="rId11" Type="http://schemas.openxmlformats.org/officeDocument/2006/relationships/hyperlink" Target="https://doi.org/10.1192/bjp.bp.109.072389" TargetMode="External"/><Relationship Id="rId24" Type="http://schemas.openxmlformats.org/officeDocument/2006/relationships/hyperlink" Target="https://www.vmiac.org.au/wp-content/uploads/VMIAC_A4_4pp_SummaryResponse_V1-11.pdf" TargetMode="External"/><Relationship Id="rId32" Type="http://schemas.openxmlformats.org/officeDocument/2006/relationships/hyperlink" Target="https://whv.org.au/resources/whv-publications/submission-royal-commission-victorias-mental-health-system" TargetMode="External"/><Relationship Id="rId37" Type="http://schemas.openxmlformats.org/officeDocument/2006/relationships/hyperlink" Target="https://whv.org.au/resources/whv-publications/additional-evidence-gender-and-mental-health-royal-commission-victoria%E2%80%99s" TargetMode="External"/><Relationship Id="rId40" Type="http://schemas.openxmlformats.org/officeDocument/2006/relationships/hyperlink" Target="https://www.ncbi.nlm.nih.gov/pmc/articles/PMC5025495/" TargetMode="External"/><Relationship Id="rId5" Type="http://schemas.openxmlformats.org/officeDocument/2006/relationships/hyperlink" Target="https://www.vu.edu.au/sites/default/files/AHPC/pdfs/investing-in-womens-mental-health.pdf" TargetMode="External"/><Relationship Id="rId15" Type="http://schemas.openxmlformats.org/officeDocument/2006/relationships/hyperlink" Target="https://doi.org/10.1093/bjsw/bcy090" TargetMode="External"/><Relationship Id="rId23" Type="http://schemas.openxmlformats.org/officeDocument/2006/relationships/hyperlink" Target="https://whv.org.au/resources/whv-publications/additional-evidence-gender-and-mental-health-royal-commission-victoria%E2%80%99s" TargetMode="External"/><Relationship Id="rId28" Type="http://schemas.openxmlformats.org/officeDocument/2006/relationships/hyperlink" Target="https://finalreport.rcvmhs.vic.gov.au/wp-content/uploads/2021/03/RCVMHS_FinalReport_Vol4_Accessible.pdf" TargetMode="External"/><Relationship Id="rId36"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10" Type="http://schemas.openxmlformats.org/officeDocument/2006/relationships/hyperlink" Target="https://doi.org/10.3109/09540261.2014.924095" TargetMode="External"/><Relationship Id="rId19" Type="http://schemas.openxmlformats.org/officeDocument/2006/relationships/hyperlink" Target="https://doi.org/10.1080/01417780122717" TargetMode="External"/><Relationship Id="rId31" Type="http://schemas.openxmlformats.org/officeDocument/2006/relationships/hyperlink" Target="http://rcvmhs.archive.royalcommission.vic.gov.au/interim-report.html" TargetMode="External"/><Relationship Id="rId4" Type="http://schemas.openxmlformats.org/officeDocument/2006/relationships/hyperlink" Target="https://www.aihw.gov.au/suicide-self-harm-monitoring/data/ambulance-attendances/ambulance-attendances-for-suicidal-behaviours" TargetMode="External"/><Relationship Id="rId9"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14" Type="http://schemas.openxmlformats.org/officeDocument/2006/relationships/hyperlink" Target="https://www.anrows.org.au/publication/implementing-trauma-informed-systems-of-care-in-health-settings-the-with-study-state-of-knowledge-paper/" TargetMode="External"/><Relationship Id="rId22" Type="http://schemas.openxmlformats.org/officeDocument/2006/relationships/hyperlink" Target="https://www.mhcc.vic.gov.au/sites/default/files/2021-01/The-right-to-be-safe-sexual-safety-project-report.pdf" TargetMode="External"/><Relationship Id="rId27"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30" Type="http://schemas.openxmlformats.org/officeDocument/2006/relationships/hyperlink" Target="https://webarchive.nationalarchives.gov.uk/ukgwa/20130107105354/http:/www.dh.gov.uk/prod_consum_dh/groups/dh_digitalassets/@dh/@en/documents/digitalasset/dh_4072069.pdf" TargetMode="External"/><Relationship Id="rId35"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43" Type="http://schemas.openxmlformats.org/officeDocument/2006/relationships/hyperlink" Target="https://www.mcwh.com.au/wp-content/uploads/Lit-review_mental-health.pdf" TargetMode="External"/><Relationship Id="rId8" Type="http://schemas.openxmlformats.org/officeDocument/2006/relationships/hyperlink" Target="https://www.anrows.org.au/publication/violence-against-women-and-mental-health/" TargetMode="External"/><Relationship Id="rId3" Type="http://schemas.openxmlformats.org/officeDocument/2006/relationships/hyperlink" Target="https://www.aihw.gov.au/reports/mental-health-services/mental-health-services-in-australia/report-contents/medicare-subsidised-mental-health-specific-services" TargetMode="External"/><Relationship Id="rId12" Type="http://schemas.openxmlformats.org/officeDocument/2006/relationships/hyperlink" Target="https://doi.org/10.1371/journal.pone.0234067" TargetMode="External"/><Relationship Id="rId17" Type="http://schemas.openxmlformats.org/officeDocument/2006/relationships/hyperlink" Target="https://www.blueknot.org.au/Resources/Publications/Practice-Guidelines/Practice-Guidelines-2012" TargetMode="External"/><Relationship Id="rId25" Type="http://schemas.openxmlformats.org/officeDocument/2006/relationships/hyperlink" Target="https://www.vu.edu.au/sites/default/files/AHPC/pdfs/investing-in-womens-mental-health.pdf" TargetMode="External"/><Relationship Id="rId33" Type="http://schemas.openxmlformats.org/officeDocument/2006/relationships/hyperlink" Target="https://apo.org.au/sites/default/files/resource-files/2016-07/apo-nid56174.pdf" TargetMode="External"/><Relationship Id="rId38" Type="http://schemas.openxmlformats.org/officeDocument/2006/relationships/hyperlink" Target="file:///C:\Users\mischa.barr\AppData\Local\Microsoft\Windows\INetCache\Content.Outlook\LBSKBTV4\10.1521\pedi.18.2.193.327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66B4-F1B8-43E8-850C-6B32C9E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2</cp:revision>
  <dcterms:created xsi:type="dcterms:W3CDTF">2021-09-01T02:15:00Z</dcterms:created>
  <dcterms:modified xsi:type="dcterms:W3CDTF">2021-09-01T02:15:00Z</dcterms:modified>
</cp:coreProperties>
</file>