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B38BDD" w14:textId="77777777" w:rsidR="00791A96" w:rsidRDefault="00B43B5C" w:rsidP="00053061">
      <w:pPr>
        <w:pStyle w:val="NoSpacing"/>
        <w:spacing w:before="240" w:after="120" w:line="22" w:lineRule="atLeast"/>
        <w:jc w:val="both"/>
        <w:rPr>
          <w:rFonts w:ascii="Arial" w:eastAsiaTheme="majorEastAsia" w:hAnsi="Arial" w:cs="Arial"/>
          <w:b/>
          <w:bCs/>
          <w:color w:val="009CA6"/>
          <w:sz w:val="48"/>
          <w:szCs w:val="48"/>
        </w:rPr>
      </w:pPr>
      <w:r w:rsidRPr="00B43B5C">
        <w:rPr>
          <w:rFonts w:ascii="Arial" w:eastAsiaTheme="majorEastAsia" w:hAnsi="Arial" w:cs="Arial"/>
          <w:b/>
          <w:bCs/>
          <w:color w:val="009CA6"/>
          <w:sz w:val="48"/>
          <w:szCs w:val="48"/>
        </w:rPr>
        <w:t xml:space="preserve">Women’s Health Victoria: </w:t>
      </w:r>
      <w:r>
        <w:rPr>
          <w:rFonts w:ascii="Arial" w:eastAsiaTheme="majorEastAsia" w:hAnsi="Arial" w:cs="Arial"/>
          <w:b/>
          <w:bCs/>
          <w:color w:val="009CA6"/>
          <w:sz w:val="48"/>
          <w:szCs w:val="48"/>
        </w:rPr>
        <w:t>S</w:t>
      </w:r>
      <w:r w:rsidRPr="00B43B5C">
        <w:rPr>
          <w:rFonts w:ascii="Arial" w:eastAsiaTheme="majorEastAsia" w:hAnsi="Arial" w:cs="Arial"/>
          <w:b/>
          <w:bCs/>
          <w:color w:val="009CA6"/>
          <w:sz w:val="48"/>
          <w:szCs w:val="48"/>
        </w:rPr>
        <w:t>ubmission to inform a Victorian Youth Strategy</w:t>
      </w:r>
      <w:r>
        <w:rPr>
          <w:rFonts w:ascii="Arial" w:eastAsiaTheme="majorEastAsia" w:hAnsi="Arial" w:cs="Arial"/>
          <w:b/>
          <w:bCs/>
          <w:color w:val="009CA6"/>
          <w:sz w:val="48"/>
          <w:szCs w:val="48"/>
        </w:rPr>
        <w:t xml:space="preserve"> </w:t>
      </w:r>
    </w:p>
    <w:p w14:paraId="641F0C1D" w14:textId="55D17C20" w:rsidR="00BC3B09" w:rsidRDefault="00B43B5C" w:rsidP="004B0388">
      <w:pPr>
        <w:pStyle w:val="NoSpacing"/>
        <w:spacing w:before="240" w:after="120" w:line="22" w:lineRule="atLeast"/>
        <w:rPr>
          <w:rFonts w:ascii="Arial" w:eastAsiaTheme="majorEastAsia" w:hAnsi="Arial" w:cs="Arial"/>
          <w:b/>
          <w:bCs/>
          <w:color w:val="009CA6"/>
          <w:sz w:val="28"/>
          <w:szCs w:val="28"/>
        </w:rPr>
      </w:pPr>
      <w:r w:rsidRPr="00B43B5C">
        <w:rPr>
          <w:rFonts w:ascii="Arial" w:eastAsiaTheme="majorEastAsia" w:hAnsi="Arial" w:cs="Arial"/>
          <w:b/>
          <w:bCs/>
          <w:color w:val="009CA6"/>
          <w:sz w:val="28"/>
          <w:szCs w:val="28"/>
        </w:rPr>
        <w:t>December 2020</w:t>
      </w:r>
    </w:p>
    <w:p w14:paraId="6093C58B" w14:textId="77777777" w:rsidR="004B0388" w:rsidRPr="009D5D6C" w:rsidRDefault="004B0388" w:rsidP="00791A96">
      <w:pPr>
        <w:pStyle w:val="NoSpacing"/>
        <w:spacing w:before="240" w:after="120" w:line="22" w:lineRule="atLeast"/>
        <w:jc w:val="right"/>
        <w:rPr>
          <w:rFonts w:ascii="Arial" w:eastAsiaTheme="majorEastAsia" w:hAnsi="Arial" w:cs="Arial"/>
          <w:b/>
          <w:bCs/>
          <w:color w:val="009CA6"/>
          <w:sz w:val="16"/>
          <w:szCs w:val="16"/>
        </w:rPr>
      </w:pPr>
    </w:p>
    <w:p w14:paraId="787E78CB" w14:textId="3EB38178" w:rsidR="001702F7" w:rsidRPr="00496E7B" w:rsidRDefault="001702F7" w:rsidP="001702F7">
      <w:pPr>
        <w:pStyle w:val="NoSpacing"/>
        <w:spacing w:before="240" w:after="120" w:line="22" w:lineRule="atLeast"/>
        <w:rPr>
          <w:rFonts w:ascii="Arial" w:hAnsi="Arial" w:cs="Arial"/>
          <w:b/>
          <w:bCs/>
        </w:rPr>
      </w:pPr>
      <w:r w:rsidRPr="00496E7B">
        <w:rPr>
          <w:rFonts w:ascii="Arial" w:hAnsi="Arial" w:cs="Arial"/>
          <w:b/>
          <w:bCs/>
        </w:rPr>
        <w:t>This submission is endorsed by the following organisations</w:t>
      </w:r>
      <w:r w:rsidR="00977168" w:rsidRPr="00496E7B">
        <w:rPr>
          <w:rFonts w:ascii="Arial" w:hAnsi="Arial" w:cs="Arial"/>
          <w:b/>
          <w:bCs/>
        </w:rPr>
        <w:t>/individuals</w:t>
      </w:r>
      <w:r w:rsidRPr="00496E7B">
        <w:rPr>
          <w:rFonts w:ascii="Arial" w:hAnsi="Arial" w:cs="Arial"/>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26"/>
      </w:tblGrid>
      <w:tr w:rsidR="00977168" w14:paraId="3F8D140A" w14:textId="77777777" w:rsidTr="009D5D6C">
        <w:tc>
          <w:tcPr>
            <w:tcW w:w="4390" w:type="dxa"/>
            <w:vAlign w:val="center"/>
          </w:tcPr>
          <w:p w14:paraId="5B4801A7" w14:textId="77777777" w:rsidR="00977168" w:rsidRPr="0055787E" w:rsidRDefault="00977168" w:rsidP="009D5D6C">
            <w:pPr>
              <w:kinsoku w:val="0"/>
              <w:overflowPunct w:val="0"/>
              <w:autoSpaceDE w:val="0"/>
              <w:autoSpaceDN w:val="0"/>
              <w:adjustRightInd w:val="0"/>
              <w:jc w:val="center"/>
              <w:rPr>
                <w:rFonts w:ascii="Times New Roman" w:hAnsi="Times New Roman" w:cs="Times New Roman"/>
                <w:sz w:val="20"/>
                <w:szCs w:val="20"/>
              </w:rPr>
            </w:pPr>
          </w:p>
          <w:p w14:paraId="50E68BA8" w14:textId="1CAC9349" w:rsidR="00977168" w:rsidRPr="00977168" w:rsidRDefault="00977168" w:rsidP="009D5D6C">
            <w:pPr>
              <w:jc w:val="center"/>
            </w:pPr>
            <w:r>
              <w:rPr>
                <w:noProof/>
              </w:rPr>
              <w:drawing>
                <wp:inline distT="0" distB="0" distL="0" distR="0" wp14:anchorId="239B2BD1" wp14:editId="7CC1FF78">
                  <wp:extent cx="986481" cy="685800"/>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5897" cy="692346"/>
                          </a:xfrm>
                          <a:prstGeom prst="rect">
                            <a:avLst/>
                          </a:prstGeom>
                          <a:noFill/>
                          <a:ln>
                            <a:noFill/>
                          </a:ln>
                        </pic:spPr>
                      </pic:pic>
                    </a:graphicData>
                  </a:graphic>
                </wp:inline>
              </w:drawing>
            </w:r>
          </w:p>
        </w:tc>
        <w:tc>
          <w:tcPr>
            <w:tcW w:w="4626" w:type="dxa"/>
            <w:vAlign w:val="center"/>
          </w:tcPr>
          <w:p w14:paraId="0ECBE7EC" w14:textId="212EB99C" w:rsidR="00977168" w:rsidRDefault="00977168" w:rsidP="009D5D6C">
            <w:pPr>
              <w:pStyle w:val="NoSpacing"/>
              <w:spacing w:before="240" w:after="120" w:line="22" w:lineRule="atLeast"/>
              <w:jc w:val="center"/>
              <w:rPr>
                <w:rFonts w:ascii="Arial" w:eastAsiaTheme="majorEastAsia" w:hAnsi="Arial" w:cs="Arial"/>
                <w:b/>
                <w:bCs/>
                <w:color w:val="009CA6"/>
                <w:sz w:val="28"/>
                <w:szCs w:val="28"/>
              </w:rPr>
            </w:pPr>
            <w:r>
              <w:rPr>
                <w:b/>
                <w:noProof/>
                <w:sz w:val="28"/>
                <w:szCs w:val="28"/>
              </w:rPr>
              <w:drawing>
                <wp:inline distT="0" distB="0" distL="0" distR="0" wp14:anchorId="18936C5E" wp14:editId="6AB10BB1">
                  <wp:extent cx="2028825" cy="625896"/>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enVic_w_Name (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1540" cy="626734"/>
                          </a:xfrm>
                          <a:prstGeom prst="rect">
                            <a:avLst/>
                          </a:prstGeom>
                        </pic:spPr>
                      </pic:pic>
                    </a:graphicData>
                  </a:graphic>
                </wp:inline>
              </w:drawing>
            </w:r>
          </w:p>
        </w:tc>
      </w:tr>
      <w:tr w:rsidR="00977168" w14:paraId="20E13714" w14:textId="77777777" w:rsidTr="004B0388">
        <w:tc>
          <w:tcPr>
            <w:tcW w:w="4390" w:type="dxa"/>
          </w:tcPr>
          <w:p w14:paraId="03DFA669" w14:textId="77777777" w:rsidR="00F717ED" w:rsidRDefault="00F717ED" w:rsidP="0055787E">
            <w:pPr>
              <w:kinsoku w:val="0"/>
              <w:overflowPunct w:val="0"/>
              <w:autoSpaceDE w:val="0"/>
              <w:autoSpaceDN w:val="0"/>
              <w:adjustRightInd w:val="0"/>
              <w:rPr>
                <w:rFonts w:ascii="Helvetica" w:hAnsi="Helvetica" w:cs="Helvetica"/>
                <w:color w:val="000000"/>
                <w:spacing w:val="3"/>
                <w:sz w:val="20"/>
                <w:shd w:val="clear" w:color="auto" w:fill="FFFFFF"/>
              </w:rPr>
            </w:pPr>
          </w:p>
          <w:p w14:paraId="3E501D25" w14:textId="77777777" w:rsidR="00F717ED" w:rsidRDefault="00F717ED" w:rsidP="0055787E">
            <w:pPr>
              <w:kinsoku w:val="0"/>
              <w:overflowPunct w:val="0"/>
              <w:autoSpaceDE w:val="0"/>
              <w:autoSpaceDN w:val="0"/>
              <w:adjustRightInd w:val="0"/>
              <w:rPr>
                <w:rFonts w:ascii="Helvetica" w:hAnsi="Helvetica" w:cs="Helvetica"/>
                <w:color w:val="000000"/>
                <w:spacing w:val="3"/>
                <w:sz w:val="20"/>
                <w:shd w:val="clear" w:color="auto" w:fill="FFFFFF"/>
              </w:rPr>
            </w:pPr>
          </w:p>
          <w:p w14:paraId="3BBAF83B" w14:textId="3137A20A" w:rsidR="00977168" w:rsidRPr="0055787E" w:rsidRDefault="004B0388" w:rsidP="009D5D6C">
            <w:pPr>
              <w:kinsoku w:val="0"/>
              <w:overflowPunct w:val="0"/>
              <w:autoSpaceDE w:val="0"/>
              <w:autoSpaceDN w:val="0"/>
              <w:adjustRightInd w:val="0"/>
              <w:jc w:val="center"/>
              <w:rPr>
                <w:rFonts w:ascii="Times New Roman" w:hAnsi="Times New Roman" w:cs="Times New Roman"/>
                <w:sz w:val="20"/>
                <w:szCs w:val="20"/>
              </w:rPr>
            </w:pPr>
            <w:r w:rsidRPr="006F4E9A">
              <w:rPr>
                <w:rFonts w:ascii="Helvetica" w:hAnsi="Helvetica" w:cs="Helvetica"/>
                <w:color w:val="000000"/>
                <w:spacing w:val="3"/>
                <w:sz w:val="20"/>
                <w:shd w:val="clear" w:color="auto" w:fill="FFFFFF"/>
              </w:rPr>
              <w:t>MAEVe, the </w:t>
            </w:r>
            <w:r w:rsidRPr="006F4E9A">
              <w:rPr>
                <w:rStyle w:val="Strong"/>
                <w:rFonts w:ascii="Helvetica" w:hAnsi="Helvetica" w:cs="Helvetica"/>
                <w:color w:val="000000"/>
                <w:spacing w:val="3"/>
                <w:sz w:val="20"/>
                <w:shd w:val="clear" w:color="auto" w:fill="FFFFFF"/>
              </w:rPr>
              <w:t>M</w:t>
            </w:r>
            <w:r w:rsidRPr="006F4E9A">
              <w:rPr>
                <w:rFonts w:ascii="Helvetica" w:hAnsi="Helvetica" w:cs="Helvetica"/>
                <w:color w:val="000000"/>
                <w:spacing w:val="3"/>
                <w:sz w:val="20"/>
                <w:shd w:val="clear" w:color="auto" w:fill="FFFFFF"/>
              </w:rPr>
              <w:t>elbourne Research </w:t>
            </w:r>
            <w:r w:rsidRPr="006F4E9A">
              <w:rPr>
                <w:rStyle w:val="Strong"/>
                <w:rFonts w:ascii="Helvetica" w:hAnsi="Helvetica" w:cs="Helvetica"/>
                <w:color w:val="000000"/>
                <w:spacing w:val="3"/>
                <w:sz w:val="20"/>
                <w:shd w:val="clear" w:color="auto" w:fill="FFFFFF"/>
              </w:rPr>
              <w:t>A</w:t>
            </w:r>
            <w:r w:rsidRPr="006F4E9A">
              <w:rPr>
                <w:rFonts w:ascii="Helvetica" w:hAnsi="Helvetica" w:cs="Helvetica"/>
                <w:color w:val="000000"/>
                <w:spacing w:val="3"/>
                <w:sz w:val="20"/>
                <w:shd w:val="clear" w:color="auto" w:fill="FFFFFF"/>
              </w:rPr>
              <w:t>lliance to </w:t>
            </w:r>
            <w:r w:rsidRPr="006F4E9A">
              <w:rPr>
                <w:rStyle w:val="Strong"/>
                <w:rFonts w:ascii="Helvetica" w:hAnsi="Helvetica" w:cs="Helvetica"/>
                <w:color w:val="000000"/>
                <w:spacing w:val="3"/>
                <w:sz w:val="20"/>
                <w:shd w:val="clear" w:color="auto" w:fill="FFFFFF"/>
              </w:rPr>
              <w:t>E</w:t>
            </w:r>
            <w:r w:rsidRPr="006F4E9A">
              <w:rPr>
                <w:rFonts w:ascii="Helvetica" w:hAnsi="Helvetica" w:cs="Helvetica"/>
                <w:color w:val="000000"/>
                <w:spacing w:val="3"/>
                <w:sz w:val="20"/>
                <w:shd w:val="clear" w:color="auto" w:fill="FFFFFF"/>
              </w:rPr>
              <w:t>nd </w:t>
            </w:r>
            <w:r w:rsidRPr="006F4E9A">
              <w:rPr>
                <w:rStyle w:val="Strong"/>
                <w:rFonts w:ascii="Helvetica" w:hAnsi="Helvetica" w:cs="Helvetica"/>
                <w:color w:val="000000"/>
                <w:spacing w:val="3"/>
                <w:sz w:val="20"/>
                <w:shd w:val="clear" w:color="auto" w:fill="FFFFFF"/>
              </w:rPr>
              <w:t>V</w:t>
            </w:r>
            <w:r w:rsidRPr="006F4E9A">
              <w:rPr>
                <w:rFonts w:ascii="Helvetica" w:hAnsi="Helvetica" w:cs="Helvetica"/>
                <w:color w:val="000000"/>
                <w:spacing w:val="3"/>
                <w:sz w:val="20"/>
                <w:shd w:val="clear" w:color="auto" w:fill="FFFFFF"/>
              </w:rPr>
              <w:t>iolenc</w:t>
            </w:r>
            <w:r w:rsidRPr="006F4E9A">
              <w:rPr>
                <w:rStyle w:val="Strong"/>
                <w:rFonts w:ascii="Helvetica" w:hAnsi="Helvetica" w:cs="Helvetica"/>
                <w:color w:val="000000"/>
                <w:spacing w:val="3"/>
                <w:sz w:val="20"/>
                <w:shd w:val="clear" w:color="auto" w:fill="FFFFFF"/>
              </w:rPr>
              <w:t>e</w:t>
            </w:r>
            <w:r w:rsidRPr="006F4E9A">
              <w:rPr>
                <w:rFonts w:ascii="Helvetica" w:hAnsi="Helvetica" w:cs="Helvetica"/>
                <w:color w:val="000000"/>
                <w:spacing w:val="3"/>
                <w:sz w:val="20"/>
                <w:shd w:val="clear" w:color="auto" w:fill="FFFFFF"/>
              </w:rPr>
              <w:t> against women and their children.</w:t>
            </w:r>
          </w:p>
        </w:tc>
        <w:tc>
          <w:tcPr>
            <w:tcW w:w="4626" w:type="dxa"/>
          </w:tcPr>
          <w:p w14:paraId="2DA1BF60" w14:textId="77777777" w:rsidR="00F717ED" w:rsidRDefault="00F717ED" w:rsidP="00977168"/>
          <w:p w14:paraId="31BC97EC" w14:textId="35FFB3CE" w:rsidR="00977168" w:rsidRPr="00F717ED" w:rsidRDefault="00977168" w:rsidP="009D5D6C">
            <w:pPr>
              <w:jc w:val="center"/>
              <w:rPr>
                <w:rFonts w:ascii="Arial" w:hAnsi="Arial" w:cs="Arial"/>
              </w:rPr>
            </w:pPr>
            <w:r w:rsidRPr="00F717ED">
              <w:rPr>
                <w:rFonts w:ascii="Arial" w:hAnsi="Arial" w:cs="Arial"/>
              </w:rPr>
              <w:t>Dr Maggie Kirkman PhD MAPS</w:t>
            </w:r>
          </w:p>
          <w:p w14:paraId="2B1D1918" w14:textId="77777777" w:rsidR="00977168" w:rsidRPr="00F717ED" w:rsidRDefault="00977168" w:rsidP="009D5D6C">
            <w:pPr>
              <w:jc w:val="center"/>
              <w:rPr>
                <w:rFonts w:ascii="Arial" w:hAnsi="Arial" w:cs="Arial"/>
              </w:rPr>
            </w:pPr>
            <w:r w:rsidRPr="00F717ED">
              <w:rPr>
                <w:rFonts w:ascii="Arial" w:hAnsi="Arial" w:cs="Arial"/>
              </w:rPr>
              <w:t>Senior Research Fellow</w:t>
            </w:r>
          </w:p>
          <w:p w14:paraId="7D230BF8" w14:textId="77777777" w:rsidR="00977168" w:rsidRDefault="00977168" w:rsidP="009D5D6C">
            <w:pPr>
              <w:jc w:val="center"/>
              <w:rPr>
                <w:rFonts w:ascii="Arial" w:hAnsi="Arial" w:cs="Arial"/>
              </w:rPr>
            </w:pPr>
            <w:r w:rsidRPr="00F717ED">
              <w:rPr>
                <w:rFonts w:ascii="Arial" w:hAnsi="Arial" w:cs="Arial"/>
              </w:rPr>
              <w:t>Global and Women's Health, Public Health &amp; Preventive Medicine,</w:t>
            </w:r>
            <w:r w:rsidR="00F717ED">
              <w:rPr>
                <w:rFonts w:ascii="Arial" w:hAnsi="Arial" w:cs="Arial"/>
              </w:rPr>
              <w:t xml:space="preserve"> </w:t>
            </w:r>
            <w:r w:rsidRPr="00F717ED">
              <w:rPr>
                <w:rFonts w:ascii="Arial" w:hAnsi="Arial" w:cs="Arial"/>
              </w:rPr>
              <w:t>Monash University</w:t>
            </w:r>
          </w:p>
          <w:p w14:paraId="0ED1C78D" w14:textId="61EDDC23" w:rsidR="00F717ED" w:rsidRPr="00F717ED" w:rsidRDefault="00F717ED" w:rsidP="009D5D6C">
            <w:pPr>
              <w:jc w:val="center"/>
              <w:rPr>
                <w:rFonts w:ascii="Arial" w:hAnsi="Arial" w:cs="Arial"/>
              </w:rPr>
            </w:pPr>
          </w:p>
        </w:tc>
      </w:tr>
      <w:tr w:rsidR="00977168" w14:paraId="29737820" w14:textId="77777777" w:rsidTr="009D5D6C">
        <w:tc>
          <w:tcPr>
            <w:tcW w:w="4390" w:type="dxa"/>
            <w:vAlign w:val="center"/>
          </w:tcPr>
          <w:p w14:paraId="22468C2A" w14:textId="1D70B7C7" w:rsidR="00977168" w:rsidRDefault="00977168" w:rsidP="009D5D6C">
            <w:pPr>
              <w:pStyle w:val="NoSpacing"/>
              <w:spacing w:before="240" w:after="120" w:line="22" w:lineRule="atLeast"/>
              <w:jc w:val="center"/>
              <w:rPr>
                <w:rFonts w:ascii="Arial" w:eastAsiaTheme="majorEastAsia" w:hAnsi="Arial" w:cs="Arial"/>
                <w:b/>
                <w:bCs/>
                <w:color w:val="009CA6"/>
                <w:sz w:val="28"/>
                <w:szCs w:val="28"/>
              </w:rPr>
            </w:pPr>
            <w:r>
              <w:rPr>
                <w:noProof/>
              </w:rPr>
              <w:drawing>
                <wp:inline distT="0" distB="0" distL="0" distR="0" wp14:anchorId="084705CB" wp14:editId="473DD9A9">
                  <wp:extent cx="2642917" cy="520995"/>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whlogo_COLOUR_pri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4324" cy="600124"/>
                          </a:xfrm>
                          <a:prstGeom prst="rect">
                            <a:avLst/>
                          </a:prstGeom>
                        </pic:spPr>
                      </pic:pic>
                    </a:graphicData>
                  </a:graphic>
                </wp:inline>
              </w:drawing>
            </w:r>
          </w:p>
        </w:tc>
        <w:tc>
          <w:tcPr>
            <w:tcW w:w="4626" w:type="dxa"/>
            <w:vAlign w:val="center"/>
          </w:tcPr>
          <w:p w14:paraId="0C718079" w14:textId="680B3D9F" w:rsidR="004B0388" w:rsidRPr="0055787E" w:rsidRDefault="004B0388" w:rsidP="009D5D6C">
            <w:pPr>
              <w:kinsoku w:val="0"/>
              <w:overflowPunct w:val="0"/>
              <w:autoSpaceDE w:val="0"/>
              <w:autoSpaceDN w:val="0"/>
              <w:adjustRightInd w:val="0"/>
              <w:jc w:val="center"/>
              <w:rPr>
                <w:rFonts w:ascii="Times New Roman" w:hAnsi="Times New Roman" w:cs="Times New Roman"/>
                <w:spacing w:val="39"/>
                <w:sz w:val="16"/>
                <w:szCs w:val="16"/>
              </w:rPr>
            </w:pPr>
            <w:r w:rsidRPr="00977168">
              <w:rPr>
                <w:rFonts w:ascii="Times New Roman" w:hAnsi="Times New Roman" w:cs="Times New Roman"/>
                <w:noProof/>
                <w:sz w:val="16"/>
                <w:szCs w:val="16"/>
              </w:rPr>
              <mc:AlternateContent>
                <mc:Choice Requires="wpg">
                  <w:drawing>
                    <wp:inline distT="0" distB="0" distL="0" distR="0" wp14:anchorId="1CA8912D" wp14:editId="09D627D2">
                      <wp:extent cx="439420" cy="340995"/>
                      <wp:effectExtent l="0" t="9525" r="8255" b="1905"/>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20" cy="340995"/>
                                <a:chOff x="0" y="0"/>
                                <a:chExt cx="692" cy="537"/>
                              </a:xfrm>
                            </wpg:grpSpPr>
                            <wpg:grpSp>
                              <wpg:cNvPr id="46" name="Group 3"/>
                              <wpg:cNvGrpSpPr>
                                <a:grpSpLocks/>
                              </wpg:cNvGrpSpPr>
                              <wpg:grpSpPr bwMode="auto">
                                <a:xfrm>
                                  <a:off x="0" y="0"/>
                                  <a:ext cx="280" cy="537"/>
                                  <a:chOff x="0" y="0"/>
                                  <a:chExt cx="280" cy="537"/>
                                </a:xfrm>
                              </wpg:grpSpPr>
                              <wps:wsp>
                                <wps:cNvPr id="47" name="Freeform 4"/>
                                <wps:cNvSpPr>
                                  <a:spLocks/>
                                </wps:cNvSpPr>
                                <wps:spPr bwMode="auto">
                                  <a:xfrm>
                                    <a:off x="0" y="0"/>
                                    <a:ext cx="280" cy="537"/>
                                  </a:xfrm>
                                  <a:custGeom>
                                    <a:avLst/>
                                    <a:gdLst>
                                      <a:gd name="T0" fmla="*/ 54 w 280"/>
                                      <a:gd name="T1" fmla="*/ 0 h 537"/>
                                      <a:gd name="T2" fmla="*/ 32 w 280"/>
                                      <a:gd name="T3" fmla="*/ 4 h 537"/>
                                      <a:gd name="T4" fmla="*/ 15 w 280"/>
                                      <a:gd name="T5" fmla="*/ 16 h 537"/>
                                      <a:gd name="T6" fmla="*/ 4 w 280"/>
                                      <a:gd name="T7" fmla="*/ 34 h 537"/>
                                      <a:gd name="T8" fmla="*/ 0 w 280"/>
                                      <a:gd name="T9" fmla="*/ 56 h 537"/>
                                      <a:gd name="T10" fmla="*/ 0 w 280"/>
                                      <a:gd name="T11" fmla="*/ 377 h 537"/>
                                      <a:gd name="T12" fmla="*/ 8 w 280"/>
                                      <a:gd name="T13" fmla="*/ 440 h 537"/>
                                      <a:gd name="T14" fmla="*/ 35 w 280"/>
                                      <a:gd name="T15" fmla="*/ 491 h 537"/>
                                      <a:gd name="T16" fmla="*/ 80 w 280"/>
                                      <a:gd name="T17" fmla="*/ 524 h 537"/>
                                      <a:gd name="T18" fmla="*/ 145 w 280"/>
                                      <a:gd name="T19" fmla="*/ 536 h 537"/>
                                      <a:gd name="T20" fmla="*/ 170 w 280"/>
                                      <a:gd name="T21" fmla="*/ 536 h 537"/>
                                      <a:gd name="T22" fmla="*/ 196 w 280"/>
                                      <a:gd name="T23" fmla="*/ 533 h 537"/>
                                      <a:gd name="T24" fmla="*/ 221 w 280"/>
                                      <a:gd name="T25" fmla="*/ 528 h 537"/>
                                      <a:gd name="T26" fmla="*/ 244 w 280"/>
                                      <a:gd name="T27" fmla="*/ 519 h 537"/>
                                      <a:gd name="T28" fmla="*/ 260 w 280"/>
                                      <a:gd name="T29" fmla="*/ 510 h 537"/>
                                      <a:gd name="T30" fmla="*/ 271 w 280"/>
                                      <a:gd name="T31" fmla="*/ 498 h 537"/>
                                      <a:gd name="T32" fmla="*/ 277 w 280"/>
                                      <a:gd name="T33" fmla="*/ 485 h 537"/>
                                      <a:gd name="T34" fmla="*/ 279 w 280"/>
                                      <a:gd name="T35" fmla="*/ 472 h 537"/>
                                      <a:gd name="T36" fmla="*/ 274 w 280"/>
                                      <a:gd name="T37" fmla="*/ 450 h 537"/>
                                      <a:gd name="T38" fmla="*/ 261 w 280"/>
                                      <a:gd name="T39" fmla="*/ 434 h 537"/>
                                      <a:gd name="T40" fmla="*/ 161 w 280"/>
                                      <a:gd name="T41" fmla="*/ 434 h 537"/>
                                      <a:gd name="T42" fmla="*/ 138 w 280"/>
                                      <a:gd name="T43" fmla="*/ 430 h 537"/>
                                      <a:gd name="T44" fmla="*/ 121 w 280"/>
                                      <a:gd name="T45" fmla="*/ 419 h 537"/>
                                      <a:gd name="T46" fmla="*/ 111 w 280"/>
                                      <a:gd name="T47" fmla="*/ 400 h 537"/>
                                      <a:gd name="T48" fmla="*/ 108 w 280"/>
                                      <a:gd name="T49" fmla="*/ 374 h 537"/>
                                      <a:gd name="T50" fmla="*/ 108 w 280"/>
                                      <a:gd name="T51" fmla="*/ 207 h 537"/>
                                      <a:gd name="T52" fmla="*/ 210 w 280"/>
                                      <a:gd name="T53" fmla="*/ 207 h 537"/>
                                      <a:gd name="T54" fmla="*/ 229 w 280"/>
                                      <a:gd name="T55" fmla="*/ 204 h 537"/>
                                      <a:gd name="T56" fmla="*/ 245 w 280"/>
                                      <a:gd name="T57" fmla="*/ 194 h 537"/>
                                      <a:gd name="T58" fmla="*/ 256 w 280"/>
                                      <a:gd name="T59" fmla="*/ 179 h 537"/>
                                      <a:gd name="T60" fmla="*/ 260 w 280"/>
                                      <a:gd name="T61" fmla="*/ 160 h 537"/>
                                      <a:gd name="T62" fmla="*/ 256 w 280"/>
                                      <a:gd name="T63" fmla="*/ 140 h 537"/>
                                      <a:gd name="T64" fmla="*/ 245 w 280"/>
                                      <a:gd name="T65" fmla="*/ 125 h 537"/>
                                      <a:gd name="T66" fmla="*/ 229 w 280"/>
                                      <a:gd name="T67" fmla="*/ 115 h 537"/>
                                      <a:gd name="T68" fmla="*/ 210 w 280"/>
                                      <a:gd name="T69" fmla="*/ 111 h 537"/>
                                      <a:gd name="T70" fmla="*/ 108 w 280"/>
                                      <a:gd name="T71" fmla="*/ 111 h 537"/>
                                      <a:gd name="T72" fmla="*/ 108 w 280"/>
                                      <a:gd name="T73" fmla="*/ 56 h 537"/>
                                      <a:gd name="T74" fmla="*/ 104 w 280"/>
                                      <a:gd name="T75" fmla="*/ 34 h 537"/>
                                      <a:gd name="T76" fmla="*/ 92 w 280"/>
                                      <a:gd name="T77" fmla="*/ 16 h 537"/>
                                      <a:gd name="T78" fmla="*/ 75 w 280"/>
                                      <a:gd name="T79" fmla="*/ 4 h 537"/>
                                      <a:gd name="T80" fmla="*/ 54 w 280"/>
                                      <a:gd name="T81" fmla="*/ 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80" h="537">
                                        <a:moveTo>
                                          <a:pt x="54" y="0"/>
                                        </a:moveTo>
                                        <a:lnTo>
                                          <a:pt x="32" y="4"/>
                                        </a:lnTo>
                                        <a:lnTo>
                                          <a:pt x="15" y="16"/>
                                        </a:lnTo>
                                        <a:lnTo>
                                          <a:pt x="4" y="34"/>
                                        </a:lnTo>
                                        <a:lnTo>
                                          <a:pt x="0" y="56"/>
                                        </a:lnTo>
                                        <a:lnTo>
                                          <a:pt x="0" y="377"/>
                                        </a:lnTo>
                                        <a:lnTo>
                                          <a:pt x="8" y="440"/>
                                        </a:lnTo>
                                        <a:lnTo>
                                          <a:pt x="35" y="491"/>
                                        </a:lnTo>
                                        <a:lnTo>
                                          <a:pt x="80" y="524"/>
                                        </a:lnTo>
                                        <a:lnTo>
                                          <a:pt x="145" y="536"/>
                                        </a:lnTo>
                                        <a:lnTo>
                                          <a:pt x="170" y="536"/>
                                        </a:lnTo>
                                        <a:lnTo>
                                          <a:pt x="196" y="533"/>
                                        </a:lnTo>
                                        <a:lnTo>
                                          <a:pt x="221" y="528"/>
                                        </a:lnTo>
                                        <a:lnTo>
                                          <a:pt x="244" y="519"/>
                                        </a:lnTo>
                                        <a:lnTo>
                                          <a:pt x="260" y="510"/>
                                        </a:lnTo>
                                        <a:lnTo>
                                          <a:pt x="271" y="498"/>
                                        </a:lnTo>
                                        <a:lnTo>
                                          <a:pt x="277" y="485"/>
                                        </a:lnTo>
                                        <a:lnTo>
                                          <a:pt x="279" y="472"/>
                                        </a:lnTo>
                                        <a:lnTo>
                                          <a:pt x="274" y="450"/>
                                        </a:lnTo>
                                        <a:lnTo>
                                          <a:pt x="261" y="434"/>
                                        </a:lnTo>
                                        <a:lnTo>
                                          <a:pt x="161" y="434"/>
                                        </a:lnTo>
                                        <a:lnTo>
                                          <a:pt x="138" y="430"/>
                                        </a:lnTo>
                                        <a:lnTo>
                                          <a:pt x="121" y="419"/>
                                        </a:lnTo>
                                        <a:lnTo>
                                          <a:pt x="111" y="400"/>
                                        </a:lnTo>
                                        <a:lnTo>
                                          <a:pt x="108" y="374"/>
                                        </a:lnTo>
                                        <a:lnTo>
                                          <a:pt x="108" y="207"/>
                                        </a:lnTo>
                                        <a:lnTo>
                                          <a:pt x="210" y="207"/>
                                        </a:lnTo>
                                        <a:lnTo>
                                          <a:pt x="229" y="204"/>
                                        </a:lnTo>
                                        <a:lnTo>
                                          <a:pt x="245" y="194"/>
                                        </a:lnTo>
                                        <a:lnTo>
                                          <a:pt x="256" y="179"/>
                                        </a:lnTo>
                                        <a:lnTo>
                                          <a:pt x="260" y="160"/>
                                        </a:lnTo>
                                        <a:lnTo>
                                          <a:pt x="256" y="140"/>
                                        </a:lnTo>
                                        <a:lnTo>
                                          <a:pt x="245" y="125"/>
                                        </a:lnTo>
                                        <a:lnTo>
                                          <a:pt x="229" y="115"/>
                                        </a:lnTo>
                                        <a:lnTo>
                                          <a:pt x="210" y="111"/>
                                        </a:lnTo>
                                        <a:lnTo>
                                          <a:pt x="108" y="111"/>
                                        </a:lnTo>
                                        <a:lnTo>
                                          <a:pt x="108" y="56"/>
                                        </a:lnTo>
                                        <a:lnTo>
                                          <a:pt x="104" y="34"/>
                                        </a:lnTo>
                                        <a:lnTo>
                                          <a:pt x="92" y="16"/>
                                        </a:lnTo>
                                        <a:lnTo>
                                          <a:pt x="75" y="4"/>
                                        </a:lnTo>
                                        <a:lnTo>
                                          <a:pt x="54" y="0"/>
                                        </a:lnTo>
                                        <a:close/>
                                      </a:path>
                                    </a:pathLst>
                                  </a:custGeom>
                                  <a:solidFill>
                                    <a:srgbClr val="00A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
                                <wps:cNvSpPr>
                                  <a:spLocks/>
                                </wps:cNvSpPr>
                                <wps:spPr bwMode="auto">
                                  <a:xfrm>
                                    <a:off x="0" y="0"/>
                                    <a:ext cx="280" cy="537"/>
                                  </a:xfrm>
                                  <a:custGeom>
                                    <a:avLst/>
                                    <a:gdLst>
                                      <a:gd name="T0" fmla="*/ 239 w 280"/>
                                      <a:gd name="T1" fmla="*/ 424 h 537"/>
                                      <a:gd name="T2" fmla="*/ 211 w 280"/>
                                      <a:gd name="T3" fmla="*/ 425 h 537"/>
                                      <a:gd name="T4" fmla="*/ 200 w 280"/>
                                      <a:gd name="T5" fmla="*/ 428 h 537"/>
                                      <a:gd name="T6" fmla="*/ 187 w 280"/>
                                      <a:gd name="T7" fmla="*/ 431 h 537"/>
                                      <a:gd name="T8" fmla="*/ 174 w 280"/>
                                      <a:gd name="T9" fmla="*/ 433 h 537"/>
                                      <a:gd name="T10" fmla="*/ 161 w 280"/>
                                      <a:gd name="T11" fmla="*/ 434 h 537"/>
                                      <a:gd name="T12" fmla="*/ 261 w 280"/>
                                      <a:gd name="T13" fmla="*/ 434 h 537"/>
                                      <a:gd name="T14" fmla="*/ 260 w 280"/>
                                      <a:gd name="T15" fmla="*/ 434 h 537"/>
                                      <a:gd name="T16" fmla="*/ 239 w 280"/>
                                      <a:gd name="T17" fmla="*/ 424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537">
                                        <a:moveTo>
                                          <a:pt x="239" y="424"/>
                                        </a:moveTo>
                                        <a:lnTo>
                                          <a:pt x="211" y="425"/>
                                        </a:lnTo>
                                        <a:lnTo>
                                          <a:pt x="200" y="428"/>
                                        </a:lnTo>
                                        <a:lnTo>
                                          <a:pt x="187" y="431"/>
                                        </a:lnTo>
                                        <a:lnTo>
                                          <a:pt x="174" y="433"/>
                                        </a:lnTo>
                                        <a:lnTo>
                                          <a:pt x="161" y="434"/>
                                        </a:lnTo>
                                        <a:lnTo>
                                          <a:pt x="261" y="434"/>
                                        </a:lnTo>
                                        <a:lnTo>
                                          <a:pt x="260" y="434"/>
                                        </a:lnTo>
                                        <a:lnTo>
                                          <a:pt x="239" y="424"/>
                                        </a:lnTo>
                                        <a:close/>
                                      </a:path>
                                    </a:pathLst>
                                  </a:custGeom>
                                  <a:solidFill>
                                    <a:srgbClr val="00A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6"/>
                              <wpg:cNvGrpSpPr>
                                <a:grpSpLocks/>
                              </wpg:cNvGrpSpPr>
                              <wpg:grpSpPr bwMode="auto">
                                <a:xfrm>
                                  <a:off x="330" y="90"/>
                                  <a:ext cx="362" cy="447"/>
                                  <a:chOff x="330" y="90"/>
                                  <a:chExt cx="362" cy="447"/>
                                </a:xfrm>
                              </wpg:grpSpPr>
                              <wps:wsp>
                                <wps:cNvPr id="50" name="Freeform 7"/>
                                <wps:cNvSpPr>
                                  <a:spLocks/>
                                </wps:cNvSpPr>
                                <wps:spPr bwMode="auto">
                                  <a:xfrm>
                                    <a:off x="330" y="90"/>
                                    <a:ext cx="362" cy="447"/>
                                  </a:xfrm>
                                  <a:custGeom>
                                    <a:avLst/>
                                    <a:gdLst>
                                      <a:gd name="T0" fmla="*/ 167 w 362"/>
                                      <a:gd name="T1" fmla="*/ 171 h 447"/>
                                      <a:gd name="T2" fmla="*/ 90 w 362"/>
                                      <a:gd name="T3" fmla="*/ 182 h 447"/>
                                      <a:gd name="T4" fmla="*/ 38 w 362"/>
                                      <a:gd name="T5" fmla="*/ 211 h 447"/>
                                      <a:gd name="T6" fmla="*/ 9 w 362"/>
                                      <a:gd name="T7" fmla="*/ 253 h 447"/>
                                      <a:gd name="T8" fmla="*/ 0 w 362"/>
                                      <a:gd name="T9" fmla="*/ 303 h 447"/>
                                      <a:gd name="T10" fmla="*/ 10 w 362"/>
                                      <a:gd name="T11" fmla="*/ 358 h 447"/>
                                      <a:gd name="T12" fmla="*/ 41 w 362"/>
                                      <a:gd name="T13" fmla="*/ 403 h 447"/>
                                      <a:gd name="T14" fmla="*/ 94 w 362"/>
                                      <a:gd name="T15" fmla="*/ 434 h 447"/>
                                      <a:gd name="T16" fmla="*/ 171 w 362"/>
                                      <a:gd name="T17" fmla="*/ 446 h 447"/>
                                      <a:gd name="T18" fmla="*/ 232 w 362"/>
                                      <a:gd name="T19" fmla="*/ 441 h 447"/>
                                      <a:gd name="T20" fmla="*/ 281 w 362"/>
                                      <a:gd name="T21" fmla="*/ 429 h 447"/>
                                      <a:gd name="T22" fmla="*/ 318 w 362"/>
                                      <a:gd name="T23" fmla="*/ 414 h 447"/>
                                      <a:gd name="T24" fmla="*/ 342 w 362"/>
                                      <a:gd name="T25" fmla="*/ 401 h 447"/>
                                      <a:gd name="T26" fmla="*/ 351 w 362"/>
                                      <a:gd name="T27" fmla="*/ 394 h 447"/>
                                      <a:gd name="T28" fmla="*/ 357 w 362"/>
                                      <a:gd name="T29" fmla="*/ 385 h 447"/>
                                      <a:gd name="T30" fmla="*/ 360 w 362"/>
                                      <a:gd name="T31" fmla="*/ 375 h 447"/>
                                      <a:gd name="T32" fmla="*/ 361 w 362"/>
                                      <a:gd name="T33" fmla="*/ 363 h 447"/>
                                      <a:gd name="T34" fmla="*/ 361 w 362"/>
                                      <a:gd name="T35" fmla="*/ 353 h 447"/>
                                      <a:gd name="T36" fmla="*/ 178 w 362"/>
                                      <a:gd name="T37" fmla="*/ 353 h 447"/>
                                      <a:gd name="T38" fmla="*/ 148 w 362"/>
                                      <a:gd name="T39" fmla="*/ 350 h 447"/>
                                      <a:gd name="T40" fmla="*/ 125 w 362"/>
                                      <a:gd name="T41" fmla="*/ 339 h 447"/>
                                      <a:gd name="T42" fmla="*/ 110 w 362"/>
                                      <a:gd name="T43" fmla="*/ 322 h 447"/>
                                      <a:gd name="T44" fmla="*/ 105 w 362"/>
                                      <a:gd name="T45" fmla="*/ 299 h 447"/>
                                      <a:gd name="T46" fmla="*/ 110 w 362"/>
                                      <a:gd name="T47" fmla="*/ 278 h 447"/>
                                      <a:gd name="T48" fmla="*/ 124 w 362"/>
                                      <a:gd name="T49" fmla="*/ 261 h 447"/>
                                      <a:gd name="T50" fmla="*/ 146 w 362"/>
                                      <a:gd name="T51" fmla="*/ 250 h 447"/>
                                      <a:gd name="T52" fmla="*/ 175 w 362"/>
                                      <a:gd name="T53" fmla="*/ 246 h 447"/>
                                      <a:gd name="T54" fmla="*/ 361 w 362"/>
                                      <a:gd name="T55" fmla="*/ 246 h 447"/>
                                      <a:gd name="T56" fmla="*/ 361 w 362"/>
                                      <a:gd name="T57" fmla="*/ 183 h 447"/>
                                      <a:gd name="T58" fmla="*/ 257 w 362"/>
                                      <a:gd name="T59" fmla="*/ 183 h 447"/>
                                      <a:gd name="T60" fmla="*/ 235 w 362"/>
                                      <a:gd name="T61" fmla="*/ 178 h 447"/>
                                      <a:gd name="T62" fmla="*/ 213 w 362"/>
                                      <a:gd name="T63" fmla="*/ 174 h 447"/>
                                      <a:gd name="T64" fmla="*/ 191 w 362"/>
                                      <a:gd name="T65" fmla="*/ 172 h 447"/>
                                      <a:gd name="T66" fmla="*/ 167 w 362"/>
                                      <a:gd name="T67" fmla="*/ 171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62" h="447">
                                        <a:moveTo>
                                          <a:pt x="167" y="171"/>
                                        </a:moveTo>
                                        <a:lnTo>
                                          <a:pt x="90" y="182"/>
                                        </a:lnTo>
                                        <a:lnTo>
                                          <a:pt x="38" y="211"/>
                                        </a:lnTo>
                                        <a:lnTo>
                                          <a:pt x="9" y="253"/>
                                        </a:lnTo>
                                        <a:lnTo>
                                          <a:pt x="0" y="303"/>
                                        </a:lnTo>
                                        <a:lnTo>
                                          <a:pt x="10" y="358"/>
                                        </a:lnTo>
                                        <a:lnTo>
                                          <a:pt x="41" y="403"/>
                                        </a:lnTo>
                                        <a:lnTo>
                                          <a:pt x="94" y="434"/>
                                        </a:lnTo>
                                        <a:lnTo>
                                          <a:pt x="171" y="446"/>
                                        </a:lnTo>
                                        <a:lnTo>
                                          <a:pt x="232" y="441"/>
                                        </a:lnTo>
                                        <a:lnTo>
                                          <a:pt x="281" y="429"/>
                                        </a:lnTo>
                                        <a:lnTo>
                                          <a:pt x="318" y="414"/>
                                        </a:lnTo>
                                        <a:lnTo>
                                          <a:pt x="342" y="401"/>
                                        </a:lnTo>
                                        <a:lnTo>
                                          <a:pt x="351" y="394"/>
                                        </a:lnTo>
                                        <a:lnTo>
                                          <a:pt x="357" y="385"/>
                                        </a:lnTo>
                                        <a:lnTo>
                                          <a:pt x="360" y="375"/>
                                        </a:lnTo>
                                        <a:lnTo>
                                          <a:pt x="361" y="363"/>
                                        </a:lnTo>
                                        <a:lnTo>
                                          <a:pt x="361" y="353"/>
                                        </a:lnTo>
                                        <a:lnTo>
                                          <a:pt x="178" y="353"/>
                                        </a:lnTo>
                                        <a:lnTo>
                                          <a:pt x="148" y="350"/>
                                        </a:lnTo>
                                        <a:lnTo>
                                          <a:pt x="125" y="339"/>
                                        </a:lnTo>
                                        <a:lnTo>
                                          <a:pt x="110" y="322"/>
                                        </a:lnTo>
                                        <a:lnTo>
                                          <a:pt x="105" y="299"/>
                                        </a:lnTo>
                                        <a:lnTo>
                                          <a:pt x="110" y="278"/>
                                        </a:lnTo>
                                        <a:lnTo>
                                          <a:pt x="124" y="261"/>
                                        </a:lnTo>
                                        <a:lnTo>
                                          <a:pt x="146" y="250"/>
                                        </a:lnTo>
                                        <a:lnTo>
                                          <a:pt x="175" y="246"/>
                                        </a:lnTo>
                                        <a:lnTo>
                                          <a:pt x="361" y="246"/>
                                        </a:lnTo>
                                        <a:lnTo>
                                          <a:pt x="361" y="183"/>
                                        </a:lnTo>
                                        <a:lnTo>
                                          <a:pt x="257" y="183"/>
                                        </a:lnTo>
                                        <a:lnTo>
                                          <a:pt x="235" y="178"/>
                                        </a:lnTo>
                                        <a:lnTo>
                                          <a:pt x="213" y="174"/>
                                        </a:lnTo>
                                        <a:lnTo>
                                          <a:pt x="191" y="172"/>
                                        </a:lnTo>
                                        <a:lnTo>
                                          <a:pt x="167" y="171"/>
                                        </a:lnTo>
                                        <a:close/>
                                      </a:path>
                                    </a:pathLst>
                                  </a:custGeom>
                                  <a:solidFill>
                                    <a:srgbClr val="00A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8"/>
                                <wps:cNvSpPr>
                                  <a:spLocks/>
                                </wps:cNvSpPr>
                                <wps:spPr bwMode="auto">
                                  <a:xfrm>
                                    <a:off x="330" y="90"/>
                                    <a:ext cx="362" cy="447"/>
                                  </a:xfrm>
                                  <a:custGeom>
                                    <a:avLst/>
                                    <a:gdLst>
                                      <a:gd name="T0" fmla="*/ 361 w 362"/>
                                      <a:gd name="T1" fmla="*/ 246 h 447"/>
                                      <a:gd name="T2" fmla="*/ 175 w 362"/>
                                      <a:gd name="T3" fmla="*/ 246 h 447"/>
                                      <a:gd name="T4" fmla="*/ 197 w 362"/>
                                      <a:gd name="T5" fmla="*/ 247 h 447"/>
                                      <a:gd name="T6" fmla="*/ 217 w 362"/>
                                      <a:gd name="T7" fmla="*/ 250 h 447"/>
                                      <a:gd name="T8" fmla="*/ 237 w 362"/>
                                      <a:gd name="T9" fmla="*/ 254 h 447"/>
                                      <a:gd name="T10" fmla="*/ 257 w 362"/>
                                      <a:gd name="T11" fmla="*/ 259 h 447"/>
                                      <a:gd name="T12" fmla="*/ 257 w 362"/>
                                      <a:gd name="T13" fmla="*/ 332 h 447"/>
                                      <a:gd name="T14" fmla="*/ 247 w 362"/>
                                      <a:gd name="T15" fmla="*/ 338 h 447"/>
                                      <a:gd name="T16" fmla="*/ 231 w 362"/>
                                      <a:gd name="T17" fmla="*/ 345 h 447"/>
                                      <a:gd name="T18" fmla="*/ 208 w 362"/>
                                      <a:gd name="T19" fmla="*/ 351 h 447"/>
                                      <a:gd name="T20" fmla="*/ 178 w 362"/>
                                      <a:gd name="T21" fmla="*/ 353 h 447"/>
                                      <a:gd name="T22" fmla="*/ 361 w 362"/>
                                      <a:gd name="T23" fmla="*/ 353 h 447"/>
                                      <a:gd name="T24" fmla="*/ 361 w 362"/>
                                      <a:gd name="T25" fmla="*/ 246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2" h="447">
                                        <a:moveTo>
                                          <a:pt x="361" y="246"/>
                                        </a:moveTo>
                                        <a:lnTo>
                                          <a:pt x="175" y="246"/>
                                        </a:lnTo>
                                        <a:lnTo>
                                          <a:pt x="197" y="247"/>
                                        </a:lnTo>
                                        <a:lnTo>
                                          <a:pt x="217" y="250"/>
                                        </a:lnTo>
                                        <a:lnTo>
                                          <a:pt x="237" y="254"/>
                                        </a:lnTo>
                                        <a:lnTo>
                                          <a:pt x="257" y="259"/>
                                        </a:lnTo>
                                        <a:lnTo>
                                          <a:pt x="257" y="332"/>
                                        </a:lnTo>
                                        <a:lnTo>
                                          <a:pt x="247" y="338"/>
                                        </a:lnTo>
                                        <a:lnTo>
                                          <a:pt x="231" y="345"/>
                                        </a:lnTo>
                                        <a:lnTo>
                                          <a:pt x="208" y="351"/>
                                        </a:lnTo>
                                        <a:lnTo>
                                          <a:pt x="178" y="353"/>
                                        </a:lnTo>
                                        <a:lnTo>
                                          <a:pt x="361" y="353"/>
                                        </a:lnTo>
                                        <a:lnTo>
                                          <a:pt x="361" y="246"/>
                                        </a:lnTo>
                                        <a:close/>
                                      </a:path>
                                    </a:pathLst>
                                  </a:custGeom>
                                  <a:solidFill>
                                    <a:srgbClr val="00A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9"/>
                                <wps:cNvSpPr>
                                  <a:spLocks/>
                                </wps:cNvSpPr>
                                <wps:spPr bwMode="auto">
                                  <a:xfrm>
                                    <a:off x="330" y="90"/>
                                    <a:ext cx="362" cy="447"/>
                                  </a:xfrm>
                                  <a:custGeom>
                                    <a:avLst/>
                                    <a:gdLst>
                                      <a:gd name="T0" fmla="*/ 351 w 362"/>
                                      <a:gd name="T1" fmla="*/ 98 h 447"/>
                                      <a:gd name="T2" fmla="*/ 180 w 362"/>
                                      <a:gd name="T3" fmla="*/ 98 h 447"/>
                                      <a:gd name="T4" fmla="*/ 216 w 362"/>
                                      <a:gd name="T5" fmla="*/ 102 h 447"/>
                                      <a:gd name="T6" fmla="*/ 239 w 362"/>
                                      <a:gd name="T7" fmla="*/ 113 h 447"/>
                                      <a:gd name="T8" fmla="*/ 253 w 362"/>
                                      <a:gd name="T9" fmla="*/ 133 h 447"/>
                                      <a:gd name="T10" fmla="*/ 257 w 362"/>
                                      <a:gd name="T11" fmla="*/ 161 h 447"/>
                                      <a:gd name="T12" fmla="*/ 257 w 362"/>
                                      <a:gd name="T13" fmla="*/ 183 h 447"/>
                                      <a:gd name="T14" fmla="*/ 361 w 362"/>
                                      <a:gd name="T15" fmla="*/ 183 h 447"/>
                                      <a:gd name="T16" fmla="*/ 361 w 362"/>
                                      <a:gd name="T17" fmla="*/ 164 h 447"/>
                                      <a:gd name="T18" fmla="*/ 351 w 362"/>
                                      <a:gd name="T19" fmla="*/ 98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2" h="447">
                                        <a:moveTo>
                                          <a:pt x="351" y="98"/>
                                        </a:moveTo>
                                        <a:lnTo>
                                          <a:pt x="180" y="98"/>
                                        </a:lnTo>
                                        <a:lnTo>
                                          <a:pt x="216" y="102"/>
                                        </a:lnTo>
                                        <a:lnTo>
                                          <a:pt x="239" y="113"/>
                                        </a:lnTo>
                                        <a:lnTo>
                                          <a:pt x="253" y="133"/>
                                        </a:lnTo>
                                        <a:lnTo>
                                          <a:pt x="257" y="161"/>
                                        </a:lnTo>
                                        <a:lnTo>
                                          <a:pt x="257" y="183"/>
                                        </a:lnTo>
                                        <a:lnTo>
                                          <a:pt x="361" y="183"/>
                                        </a:lnTo>
                                        <a:lnTo>
                                          <a:pt x="361" y="164"/>
                                        </a:lnTo>
                                        <a:lnTo>
                                          <a:pt x="351" y="98"/>
                                        </a:lnTo>
                                        <a:close/>
                                      </a:path>
                                    </a:pathLst>
                                  </a:custGeom>
                                  <a:solidFill>
                                    <a:srgbClr val="00A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0"/>
                                <wps:cNvSpPr>
                                  <a:spLocks/>
                                </wps:cNvSpPr>
                                <wps:spPr bwMode="auto">
                                  <a:xfrm>
                                    <a:off x="330" y="90"/>
                                    <a:ext cx="362" cy="447"/>
                                  </a:xfrm>
                                  <a:custGeom>
                                    <a:avLst/>
                                    <a:gdLst>
                                      <a:gd name="T0" fmla="*/ 182 w 362"/>
                                      <a:gd name="T1" fmla="*/ 0 h 447"/>
                                      <a:gd name="T2" fmla="*/ 146 w 362"/>
                                      <a:gd name="T3" fmla="*/ 1 h 447"/>
                                      <a:gd name="T4" fmla="*/ 112 w 362"/>
                                      <a:gd name="T5" fmla="*/ 6 h 447"/>
                                      <a:gd name="T6" fmla="*/ 84 w 362"/>
                                      <a:gd name="T7" fmla="*/ 13 h 447"/>
                                      <a:gd name="T8" fmla="*/ 63 w 362"/>
                                      <a:gd name="T9" fmla="*/ 20 h 447"/>
                                      <a:gd name="T10" fmla="*/ 46 w 362"/>
                                      <a:gd name="T11" fmla="*/ 30 h 447"/>
                                      <a:gd name="T12" fmla="*/ 35 w 362"/>
                                      <a:gd name="T13" fmla="*/ 42 h 447"/>
                                      <a:gd name="T14" fmla="*/ 29 w 362"/>
                                      <a:gd name="T15" fmla="*/ 55 h 447"/>
                                      <a:gd name="T16" fmla="*/ 27 w 362"/>
                                      <a:gd name="T17" fmla="*/ 69 h 447"/>
                                      <a:gd name="T18" fmla="*/ 32 w 362"/>
                                      <a:gd name="T19" fmla="*/ 92 h 447"/>
                                      <a:gd name="T20" fmla="*/ 47 w 362"/>
                                      <a:gd name="T21" fmla="*/ 108 h 447"/>
                                      <a:gd name="T22" fmla="*/ 71 w 362"/>
                                      <a:gd name="T23" fmla="*/ 116 h 447"/>
                                      <a:gd name="T24" fmla="*/ 102 w 362"/>
                                      <a:gd name="T25" fmla="*/ 111 h 447"/>
                                      <a:gd name="T26" fmla="*/ 118 w 362"/>
                                      <a:gd name="T27" fmla="*/ 107 h 447"/>
                                      <a:gd name="T28" fmla="*/ 138 w 362"/>
                                      <a:gd name="T29" fmla="*/ 102 h 447"/>
                                      <a:gd name="T30" fmla="*/ 158 w 362"/>
                                      <a:gd name="T31" fmla="*/ 99 h 447"/>
                                      <a:gd name="T32" fmla="*/ 180 w 362"/>
                                      <a:gd name="T33" fmla="*/ 98 h 447"/>
                                      <a:gd name="T34" fmla="*/ 351 w 362"/>
                                      <a:gd name="T35" fmla="*/ 98 h 447"/>
                                      <a:gd name="T36" fmla="*/ 349 w 362"/>
                                      <a:gd name="T37" fmla="*/ 90 h 447"/>
                                      <a:gd name="T38" fmla="*/ 315 w 362"/>
                                      <a:gd name="T39" fmla="*/ 39 h 447"/>
                                      <a:gd name="T40" fmla="*/ 258 w 362"/>
                                      <a:gd name="T41" fmla="*/ 9 h 447"/>
                                      <a:gd name="T42" fmla="*/ 182 w 362"/>
                                      <a:gd name="T43" fmla="*/ 0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2" h="447">
                                        <a:moveTo>
                                          <a:pt x="182" y="0"/>
                                        </a:moveTo>
                                        <a:lnTo>
                                          <a:pt x="146" y="1"/>
                                        </a:lnTo>
                                        <a:lnTo>
                                          <a:pt x="112" y="6"/>
                                        </a:lnTo>
                                        <a:lnTo>
                                          <a:pt x="84" y="13"/>
                                        </a:lnTo>
                                        <a:lnTo>
                                          <a:pt x="63" y="20"/>
                                        </a:lnTo>
                                        <a:lnTo>
                                          <a:pt x="46" y="30"/>
                                        </a:lnTo>
                                        <a:lnTo>
                                          <a:pt x="35" y="42"/>
                                        </a:lnTo>
                                        <a:lnTo>
                                          <a:pt x="29" y="55"/>
                                        </a:lnTo>
                                        <a:lnTo>
                                          <a:pt x="27" y="69"/>
                                        </a:lnTo>
                                        <a:lnTo>
                                          <a:pt x="32" y="92"/>
                                        </a:lnTo>
                                        <a:lnTo>
                                          <a:pt x="47" y="108"/>
                                        </a:lnTo>
                                        <a:lnTo>
                                          <a:pt x="71" y="116"/>
                                        </a:lnTo>
                                        <a:lnTo>
                                          <a:pt x="102" y="111"/>
                                        </a:lnTo>
                                        <a:lnTo>
                                          <a:pt x="118" y="107"/>
                                        </a:lnTo>
                                        <a:lnTo>
                                          <a:pt x="138" y="102"/>
                                        </a:lnTo>
                                        <a:lnTo>
                                          <a:pt x="158" y="99"/>
                                        </a:lnTo>
                                        <a:lnTo>
                                          <a:pt x="180" y="98"/>
                                        </a:lnTo>
                                        <a:lnTo>
                                          <a:pt x="351" y="98"/>
                                        </a:lnTo>
                                        <a:lnTo>
                                          <a:pt x="349" y="90"/>
                                        </a:lnTo>
                                        <a:lnTo>
                                          <a:pt x="315" y="39"/>
                                        </a:lnTo>
                                        <a:lnTo>
                                          <a:pt x="258" y="9"/>
                                        </a:lnTo>
                                        <a:lnTo>
                                          <a:pt x="182" y="0"/>
                                        </a:lnTo>
                                        <a:close/>
                                      </a:path>
                                    </a:pathLst>
                                  </a:custGeom>
                                  <a:solidFill>
                                    <a:srgbClr val="00A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1E886BA" id="Group 45" o:spid="_x0000_s1026" style="width:34.6pt;height:26.85pt;mso-position-horizontal-relative:char;mso-position-vertical-relative:line" coordsize="69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">
                      <v:group id="Group 3" o:spid="_x0000_s1027" style="position:absolute;width:280;height:537" coordsize="28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 o:spid="_x0000_s1028" style="position:absolute;width:280;height:537;visibility:visible;mso-wrap-style:square;v-text-anchor:top" coordsize="28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" path="m54,l32,4,15,16,4,34,,56,,377r8,63l35,491r45,33l145,536r25,l196,533r25,-5l244,519r16,-9l271,498r6,-13l279,472r-5,-22l261,434r-100,l138,430,121,419,111,400r-3,-26l108,207r102,l229,204r16,-10l256,179r4,-19l256,140,245,125,229,115r-19,-4l108,111r,-55l104,34,92,16,75,4,54,xe" fillcolor="#00a1e4" stroked="f">
                          <v:path arrowok="t" o:connecttype="custom" o:connectlocs="54,0;32,4;15,16;4,34;0,56;0,377;8,440;35,491;80,524;145,536;170,536;196,533;221,528;244,519;260,510;271,498;277,485;279,472;274,450;261,434;161,434;138,430;121,419;111,400;108,374;108,207;210,207;229,204;245,194;256,179;260,160;256,140;245,125;229,115;210,111;108,111;108,56;104,34;92,16;75,4;54,0" o:connectangles="0,0,0,0,0,0,0,0,0,0,0,0,0,0,0,0,0,0,0,0,0,0,0,0,0,0,0,0,0,0,0,0,0,0,0,0,0,0,0,0,0"/>
                        </v:shape>
                        <v:shape id="Freeform 5" o:spid="_x0000_s1029" style="position:absolute;width:280;height:537;visibility:visible;mso-wrap-style:square;v-text-anchor:top" coordsize="28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" path="m239,424r-28,1l200,428r-13,3l174,433r-13,1l261,434r-1,l239,424xe" fillcolor="#00a1e4" stroked="f">
                          <v:path arrowok="t" o:connecttype="custom" o:connectlocs="239,424;211,425;200,428;187,431;174,433;161,434;261,434;260,434;239,424" o:connectangles="0,0,0,0,0,0,0,0,0"/>
                        </v:shape>
                      </v:group>
                      <v:group id="Group 6" o:spid="_x0000_s1030" style="position:absolute;left:330;top:90;width:362;height:447" coordorigin="330,90" coordsize="36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7" o:spid="_x0000_s1031" style="position:absolute;left:330;top:90;width:362;height:447;visibility:visible;mso-wrap-style:square;v-text-anchor:top" coordsize="36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" path="m167,171l90,182,38,211,9,253,,303r10,55l41,403r53,31l171,446r61,-5l281,429r37,-15l342,401r9,-7l357,385r3,-10l361,363r,-10l178,353r-30,-3l125,339,110,322r-5,-23l110,278r14,-17l146,250r29,-4l361,246r,-63l257,183r-22,-5l213,174r-22,-2l167,171xe" fillcolor="#00a1e4" stroked="f">
                          <v:path arrowok="t" o:connecttype="custom" o:connectlocs="167,171;90,182;38,211;9,253;0,303;10,358;41,403;94,434;171,446;232,441;281,429;318,414;342,401;351,394;357,385;360,375;361,363;361,353;178,353;148,350;125,339;110,322;105,299;110,278;124,261;146,250;175,246;361,246;361,183;257,183;235,178;213,174;191,172;167,171" o:connectangles="0,0,0,0,0,0,0,0,0,0,0,0,0,0,0,0,0,0,0,0,0,0,0,0,0,0,0,0,0,0,0,0,0,0"/>
                        </v:shape>
                        <v:shape id="Freeform 8" o:spid="_x0000_s1032" style="position:absolute;left:330;top:90;width:362;height:447;visibility:visible;mso-wrap-style:square;v-text-anchor:top" coordsize="36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" path="m361,246r-186,l197,247r20,3l237,254r20,5l257,332r-10,6l231,345r-23,6l178,353r183,l361,246xe" fillcolor="#00a1e4" stroked="f">
                          <v:path arrowok="t" o:connecttype="custom" o:connectlocs="361,246;175,246;197,247;217,250;237,254;257,259;257,332;247,338;231,345;208,351;178,353;361,353;361,246" o:connectangles="0,0,0,0,0,0,0,0,0,0,0,0,0"/>
                        </v:shape>
                        <v:shape id="Freeform 9" o:spid="_x0000_s1033" style="position:absolute;left:330;top:90;width:362;height:447;visibility:visible;mso-wrap-style:square;v-text-anchor:top" coordsize="36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" path="m351,98r-171,l216,102r23,11l253,133r4,28l257,183r104,l361,164,351,98xe" fillcolor="#00a1e4" stroked="f">
                          <v:path arrowok="t" o:connecttype="custom" o:connectlocs="351,98;180,98;216,102;239,113;253,133;257,161;257,183;361,183;361,164;351,98" o:connectangles="0,0,0,0,0,0,0,0,0,0"/>
                        </v:shape>
                        <v:shape id="Freeform 10" o:spid="_x0000_s1034" style="position:absolute;left:330;top:90;width:362;height:447;visibility:visible;mso-wrap-style:square;v-text-anchor:top" coordsize="36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" path="m182,l146,1,112,6,84,13,63,20,46,30,35,42,29,55,27,69r5,23l47,108r24,8l102,111r16,-4l138,102r20,-3l180,98r171,l349,90,315,39,258,9,182,xe" fillcolor="#00a1e4" stroked="f">
                          <v:path arrowok="t" o:connecttype="custom" o:connectlocs="182,0;146,1;112,6;84,13;63,20;46,30;35,42;29,55;27,69;32,92;47,108;71,116;102,111;118,107;138,102;158,99;180,98;351,98;349,90;315,39;258,9;182,0" o:connectangles="0,0,0,0,0,0,0,0,0,0,0,0,0,0,0,0,0,0,0,0,0,0"/>
                        </v:shape>
                      </v:group>
                      <w10:anchorlock/>
                    </v:group>
                  </w:pict>
                </mc:Fallback>
              </mc:AlternateContent>
            </w:r>
            <w:r w:rsidRPr="00977168">
              <w:rPr>
                <w:rFonts w:ascii="Times New Roman" w:hAnsi="Times New Roman" w:cs="Times New Roman"/>
                <w:noProof/>
                <w:spacing w:val="35"/>
                <w:sz w:val="16"/>
                <w:szCs w:val="16"/>
              </w:rPr>
              <mc:AlternateContent>
                <mc:Choice Requires="wpg">
                  <w:drawing>
                    <wp:inline distT="0" distB="0" distL="0" distR="0" wp14:anchorId="77C246CD" wp14:editId="73232A6B">
                      <wp:extent cx="238760" cy="281940"/>
                      <wp:effectExtent l="0" t="9525" r="8890" b="381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281940"/>
                                <a:chOff x="0" y="0"/>
                                <a:chExt cx="376" cy="444"/>
                              </a:xfrm>
                            </wpg:grpSpPr>
                            <wpg:grpSp>
                              <wpg:cNvPr id="42" name="Group 12"/>
                              <wpg:cNvGrpSpPr>
                                <a:grpSpLocks/>
                              </wpg:cNvGrpSpPr>
                              <wpg:grpSpPr bwMode="auto">
                                <a:xfrm>
                                  <a:off x="0" y="0"/>
                                  <a:ext cx="376" cy="444"/>
                                  <a:chOff x="0" y="0"/>
                                  <a:chExt cx="376" cy="444"/>
                                </a:xfrm>
                              </wpg:grpSpPr>
                              <wps:wsp>
                                <wps:cNvPr id="43" name="Freeform 13"/>
                                <wps:cNvSpPr>
                                  <a:spLocks/>
                                </wps:cNvSpPr>
                                <wps:spPr bwMode="auto">
                                  <a:xfrm>
                                    <a:off x="0" y="0"/>
                                    <a:ext cx="376" cy="444"/>
                                  </a:xfrm>
                                  <a:custGeom>
                                    <a:avLst/>
                                    <a:gdLst>
                                      <a:gd name="T0" fmla="*/ 191 w 376"/>
                                      <a:gd name="T1" fmla="*/ 0 h 444"/>
                                      <a:gd name="T2" fmla="*/ 131 w 376"/>
                                      <a:gd name="T3" fmla="*/ 4 h 444"/>
                                      <a:gd name="T4" fmla="*/ 82 w 376"/>
                                      <a:gd name="T5" fmla="*/ 15 h 444"/>
                                      <a:gd name="T6" fmla="*/ 44 w 376"/>
                                      <a:gd name="T7" fmla="*/ 30 h 444"/>
                                      <a:gd name="T8" fmla="*/ 19 w 376"/>
                                      <a:gd name="T9" fmla="*/ 44 h 444"/>
                                      <a:gd name="T10" fmla="*/ 10 w 376"/>
                                      <a:gd name="T11" fmla="*/ 52 h 444"/>
                                      <a:gd name="T12" fmla="*/ 4 w 376"/>
                                      <a:gd name="T13" fmla="*/ 60 h 444"/>
                                      <a:gd name="T14" fmla="*/ 1 w 376"/>
                                      <a:gd name="T15" fmla="*/ 70 h 444"/>
                                      <a:gd name="T16" fmla="*/ 0 w 376"/>
                                      <a:gd name="T17" fmla="*/ 84 h 444"/>
                                      <a:gd name="T18" fmla="*/ 0 w 376"/>
                                      <a:gd name="T19" fmla="*/ 387 h 444"/>
                                      <a:gd name="T20" fmla="*/ 4 w 376"/>
                                      <a:gd name="T21" fmla="*/ 409 h 444"/>
                                      <a:gd name="T22" fmla="*/ 16 w 376"/>
                                      <a:gd name="T23" fmla="*/ 427 h 444"/>
                                      <a:gd name="T24" fmla="*/ 33 w 376"/>
                                      <a:gd name="T25" fmla="*/ 439 h 444"/>
                                      <a:gd name="T26" fmla="*/ 54 w 376"/>
                                      <a:gd name="T27" fmla="*/ 443 h 444"/>
                                      <a:gd name="T28" fmla="*/ 76 w 376"/>
                                      <a:gd name="T29" fmla="*/ 439 h 444"/>
                                      <a:gd name="T30" fmla="*/ 93 w 376"/>
                                      <a:gd name="T31" fmla="*/ 427 h 444"/>
                                      <a:gd name="T32" fmla="*/ 104 w 376"/>
                                      <a:gd name="T33" fmla="*/ 409 h 444"/>
                                      <a:gd name="T34" fmla="*/ 108 w 376"/>
                                      <a:gd name="T35" fmla="*/ 387 h 444"/>
                                      <a:gd name="T36" fmla="*/ 108 w 376"/>
                                      <a:gd name="T37" fmla="*/ 125 h 444"/>
                                      <a:gd name="T38" fmla="*/ 123 w 376"/>
                                      <a:gd name="T39" fmla="*/ 118 h 444"/>
                                      <a:gd name="T40" fmla="*/ 142 w 376"/>
                                      <a:gd name="T41" fmla="*/ 112 h 444"/>
                                      <a:gd name="T42" fmla="*/ 164 w 376"/>
                                      <a:gd name="T43" fmla="*/ 107 h 444"/>
                                      <a:gd name="T44" fmla="*/ 188 w 376"/>
                                      <a:gd name="T45" fmla="*/ 106 h 444"/>
                                      <a:gd name="T46" fmla="*/ 364 w 376"/>
                                      <a:gd name="T47" fmla="*/ 106 h 444"/>
                                      <a:gd name="T48" fmla="*/ 363 w 376"/>
                                      <a:gd name="T49" fmla="*/ 101 h 444"/>
                                      <a:gd name="T50" fmla="*/ 329 w 376"/>
                                      <a:gd name="T51" fmla="*/ 46 h 444"/>
                                      <a:gd name="T52" fmla="*/ 271 w 376"/>
                                      <a:gd name="T53" fmla="*/ 11 h 444"/>
                                      <a:gd name="T54" fmla="*/ 191 w 376"/>
                                      <a:gd name="T55" fmla="*/ 0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6" h="444">
                                        <a:moveTo>
                                          <a:pt x="191" y="0"/>
                                        </a:moveTo>
                                        <a:lnTo>
                                          <a:pt x="131" y="4"/>
                                        </a:lnTo>
                                        <a:lnTo>
                                          <a:pt x="82" y="15"/>
                                        </a:lnTo>
                                        <a:lnTo>
                                          <a:pt x="44" y="30"/>
                                        </a:lnTo>
                                        <a:lnTo>
                                          <a:pt x="19" y="44"/>
                                        </a:lnTo>
                                        <a:lnTo>
                                          <a:pt x="10" y="52"/>
                                        </a:lnTo>
                                        <a:lnTo>
                                          <a:pt x="4" y="60"/>
                                        </a:lnTo>
                                        <a:lnTo>
                                          <a:pt x="1" y="70"/>
                                        </a:lnTo>
                                        <a:lnTo>
                                          <a:pt x="0" y="84"/>
                                        </a:lnTo>
                                        <a:lnTo>
                                          <a:pt x="0" y="387"/>
                                        </a:lnTo>
                                        <a:lnTo>
                                          <a:pt x="4" y="409"/>
                                        </a:lnTo>
                                        <a:lnTo>
                                          <a:pt x="16" y="427"/>
                                        </a:lnTo>
                                        <a:lnTo>
                                          <a:pt x="33" y="439"/>
                                        </a:lnTo>
                                        <a:lnTo>
                                          <a:pt x="54" y="443"/>
                                        </a:lnTo>
                                        <a:lnTo>
                                          <a:pt x="76" y="439"/>
                                        </a:lnTo>
                                        <a:lnTo>
                                          <a:pt x="93" y="427"/>
                                        </a:lnTo>
                                        <a:lnTo>
                                          <a:pt x="104" y="409"/>
                                        </a:lnTo>
                                        <a:lnTo>
                                          <a:pt x="108" y="387"/>
                                        </a:lnTo>
                                        <a:lnTo>
                                          <a:pt x="108" y="125"/>
                                        </a:lnTo>
                                        <a:lnTo>
                                          <a:pt x="123" y="118"/>
                                        </a:lnTo>
                                        <a:lnTo>
                                          <a:pt x="142" y="112"/>
                                        </a:lnTo>
                                        <a:lnTo>
                                          <a:pt x="164" y="107"/>
                                        </a:lnTo>
                                        <a:lnTo>
                                          <a:pt x="188" y="106"/>
                                        </a:lnTo>
                                        <a:lnTo>
                                          <a:pt x="364" y="106"/>
                                        </a:lnTo>
                                        <a:lnTo>
                                          <a:pt x="363" y="101"/>
                                        </a:lnTo>
                                        <a:lnTo>
                                          <a:pt x="329" y="46"/>
                                        </a:lnTo>
                                        <a:lnTo>
                                          <a:pt x="271" y="11"/>
                                        </a:lnTo>
                                        <a:lnTo>
                                          <a:pt x="191" y="0"/>
                                        </a:lnTo>
                                        <a:close/>
                                      </a:path>
                                    </a:pathLst>
                                  </a:custGeom>
                                  <a:solidFill>
                                    <a:srgbClr val="00A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4"/>
                                <wps:cNvSpPr>
                                  <a:spLocks/>
                                </wps:cNvSpPr>
                                <wps:spPr bwMode="auto">
                                  <a:xfrm>
                                    <a:off x="0" y="0"/>
                                    <a:ext cx="376" cy="444"/>
                                  </a:xfrm>
                                  <a:custGeom>
                                    <a:avLst/>
                                    <a:gdLst>
                                      <a:gd name="T0" fmla="*/ 364 w 376"/>
                                      <a:gd name="T1" fmla="*/ 106 h 444"/>
                                      <a:gd name="T2" fmla="*/ 188 w 376"/>
                                      <a:gd name="T3" fmla="*/ 106 h 444"/>
                                      <a:gd name="T4" fmla="*/ 218 w 376"/>
                                      <a:gd name="T5" fmla="*/ 110 h 444"/>
                                      <a:gd name="T6" fmla="*/ 243 w 376"/>
                                      <a:gd name="T7" fmla="*/ 124 h 444"/>
                                      <a:gd name="T8" fmla="*/ 260 w 376"/>
                                      <a:gd name="T9" fmla="*/ 148 h 444"/>
                                      <a:gd name="T10" fmla="*/ 266 w 376"/>
                                      <a:gd name="T11" fmla="*/ 182 h 444"/>
                                      <a:gd name="T12" fmla="*/ 266 w 376"/>
                                      <a:gd name="T13" fmla="*/ 387 h 444"/>
                                      <a:gd name="T14" fmla="*/ 271 w 376"/>
                                      <a:gd name="T15" fmla="*/ 409 h 444"/>
                                      <a:gd name="T16" fmla="*/ 283 w 376"/>
                                      <a:gd name="T17" fmla="*/ 427 h 444"/>
                                      <a:gd name="T18" fmla="*/ 300 w 376"/>
                                      <a:gd name="T19" fmla="*/ 439 h 444"/>
                                      <a:gd name="T20" fmla="*/ 321 w 376"/>
                                      <a:gd name="T21" fmla="*/ 443 h 444"/>
                                      <a:gd name="T22" fmla="*/ 343 w 376"/>
                                      <a:gd name="T23" fmla="*/ 439 h 444"/>
                                      <a:gd name="T24" fmla="*/ 360 w 376"/>
                                      <a:gd name="T25" fmla="*/ 427 h 444"/>
                                      <a:gd name="T26" fmla="*/ 371 w 376"/>
                                      <a:gd name="T27" fmla="*/ 409 h 444"/>
                                      <a:gd name="T28" fmla="*/ 375 w 376"/>
                                      <a:gd name="T29" fmla="*/ 387 h 444"/>
                                      <a:gd name="T30" fmla="*/ 375 w 376"/>
                                      <a:gd name="T31" fmla="*/ 177 h 444"/>
                                      <a:gd name="T32" fmla="*/ 364 w 376"/>
                                      <a:gd name="T33" fmla="*/ 106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6" h="444">
                                        <a:moveTo>
                                          <a:pt x="364" y="106"/>
                                        </a:moveTo>
                                        <a:lnTo>
                                          <a:pt x="188" y="106"/>
                                        </a:lnTo>
                                        <a:lnTo>
                                          <a:pt x="218" y="110"/>
                                        </a:lnTo>
                                        <a:lnTo>
                                          <a:pt x="243" y="124"/>
                                        </a:lnTo>
                                        <a:lnTo>
                                          <a:pt x="260" y="148"/>
                                        </a:lnTo>
                                        <a:lnTo>
                                          <a:pt x="266" y="182"/>
                                        </a:lnTo>
                                        <a:lnTo>
                                          <a:pt x="266" y="387"/>
                                        </a:lnTo>
                                        <a:lnTo>
                                          <a:pt x="271" y="409"/>
                                        </a:lnTo>
                                        <a:lnTo>
                                          <a:pt x="283" y="427"/>
                                        </a:lnTo>
                                        <a:lnTo>
                                          <a:pt x="300" y="439"/>
                                        </a:lnTo>
                                        <a:lnTo>
                                          <a:pt x="321" y="443"/>
                                        </a:lnTo>
                                        <a:lnTo>
                                          <a:pt x="343" y="439"/>
                                        </a:lnTo>
                                        <a:lnTo>
                                          <a:pt x="360" y="427"/>
                                        </a:lnTo>
                                        <a:lnTo>
                                          <a:pt x="371" y="409"/>
                                        </a:lnTo>
                                        <a:lnTo>
                                          <a:pt x="375" y="387"/>
                                        </a:lnTo>
                                        <a:lnTo>
                                          <a:pt x="375" y="177"/>
                                        </a:lnTo>
                                        <a:lnTo>
                                          <a:pt x="364" y="106"/>
                                        </a:lnTo>
                                        <a:close/>
                                      </a:path>
                                    </a:pathLst>
                                  </a:custGeom>
                                  <a:solidFill>
                                    <a:srgbClr val="00A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4636AF7" id="Group 41" o:spid="_x0000_s1026" style="width:18.8pt;height:22.2pt;mso-position-horizontal-relative:char;mso-position-vertical-relative:line" coordsize="37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">
                      <v:group id="Group 12" o:spid="_x0000_s1027" style="position:absolute;width:376;height:444" coordsize="37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3" o:spid="_x0000_s1028" style="position:absolute;width:376;height:444;visibility:visible;mso-wrap-style:square;v-text-anchor:top" coordsize="37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" path="m191,l131,4,82,15,44,30,19,44r-9,8l4,60,1,70,,84,,387r4,22l16,427r17,12l54,443r22,-4l93,427r11,-18l108,387r,-262l123,118r19,-6l164,107r24,-1l364,106r-1,-5l329,46,271,11,191,xe" fillcolor="#00a1e4" stroked="f">
                          <v:path arrowok="t" o:connecttype="custom" o:connectlocs="191,0;131,4;82,15;44,30;19,44;10,52;4,60;1,70;0,84;0,387;4,409;16,427;33,439;54,443;76,439;93,427;104,409;108,387;108,125;123,118;142,112;164,107;188,106;364,106;363,101;329,46;271,11;191,0" o:connectangles="0,0,0,0,0,0,0,0,0,0,0,0,0,0,0,0,0,0,0,0,0,0,0,0,0,0,0,0"/>
                        </v:shape>
                        <v:shape id="Freeform 14" o:spid="_x0000_s1029" style="position:absolute;width:376;height:444;visibility:visible;mso-wrap-style:square;v-text-anchor:top" coordsize="37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" path="m364,106r-176,l218,110r25,14l260,148r6,34l266,387r5,22l283,427r17,12l321,443r22,-4l360,427r11,-18l375,387r,-210l364,106xe" fillcolor="#00a1e4" stroked="f">
                          <v:path arrowok="t" o:connecttype="custom" o:connectlocs="364,106;188,106;218,110;243,124;260,148;266,182;266,387;271,409;283,427;300,439;321,443;343,439;360,427;371,409;375,387;375,177;364,106" o:connectangles="0,0,0,0,0,0,0,0,0,0,0,0,0,0,0,0,0"/>
                        </v:shape>
                      </v:group>
                      <w10:anchorlock/>
                    </v:group>
                  </w:pict>
                </mc:Fallback>
              </mc:AlternateContent>
            </w:r>
            <w:r w:rsidRPr="00977168">
              <w:rPr>
                <w:rFonts w:ascii="Times New Roman" w:hAnsi="Times New Roman" w:cs="Times New Roman"/>
                <w:noProof/>
                <w:spacing w:val="21"/>
                <w:sz w:val="16"/>
                <w:szCs w:val="16"/>
              </w:rPr>
              <mc:AlternateContent>
                <mc:Choice Requires="wpg">
                  <w:drawing>
                    <wp:inline distT="0" distB="0" distL="0" distR="0" wp14:anchorId="271F4621" wp14:editId="75D2322F">
                      <wp:extent cx="243840" cy="374015"/>
                      <wp:effectExtent l="0" t="0" r="3810" b="698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374015"/>
                                <a:chOff x="0" y="0"/>
                                <a:chExt cx="384" cy="589"/>
                              </a:xfrm>
                            </wpg:grpSpPr>
                            <wpg:grpSp>
                              <wpg:cNvPr id="37" name="Group 16"/>
                              <wpg:cNvGrpSpPr>
                                <a:grpSpLocks/>
                              </wpg:cNvGrpSpPr>
                              <wpg:grpSpPr bwMode="auto">
                                <a:xfrm>
                                  <a:off x="0" y="0"/>
                                  <a:ext cx="384" cy="589"/>
                                  <a:chOff x="0" y="0"/>
                                  <a:chExt cx="384" cy="589"/>
                                </a:xfrm>
                              </wpg:grpSpPr>
                              <wps:wsp>
                                <wps:cNvPr id="38" name="Freeform 17"/>
                                <wps:cNvSpPr>
                                  <a:spLocks/>
                                </wps:cNvSpPr>
                                <wps:spPr bwMode="auto">
                                  <a:xfrm>
                                    <a:off x="0" y="0"/>
                                    <a:ext cx="384" cy="589"/>
                                  </a:xfrm>
                                  <a:custGeom>
                                    <a:avLst/>
                                    <a:gdLst>
                                      <a:gd name="T0" fmla="*/ 179 w 384"/>
                                      <a:gd name="T1" fmla="*/ 142 h 589"/>
                                      <a:gd name="T2" fmla="*/ 107 w 384"/>
                                      <a:gd name="T3" fmla="*/ 154 h 589"/>
                                      <a:gd name="T4" fmla="*/ 53 w 384"/>
                                      <a:gd name="T5" fmla="*/ 187 h 589"/>
                                      <a:gd name="T6" fmla="*/ 18 w 384"/>
                                      <a:gd name="T7" fmla="*/ 239 h 589"/>
                                      <a:gd name="T8" fmla="*/ 1 w 384"/>
                                      <a:gd name="T9" fmla="*/ 308 h 589"/>
                                      <a:gd name="T10" fmla="*/ 0 w 384"/>
                                      <a:gd name="T11" fmla="*/ 334 h 589"/>
                                      <a:gd name="T12" fmla="*/ 0 w 384"/>
                                      <a:gd name="T13" fmla="*/ 364 h 589"/>
                                      <a:gd name="T14" fmla="*/ 0 w 384"/>
                                      <a:gd name="T15" fmla="*/ 394 h 589"/>
                                      <a:gd name="T16" fmla="*/ 1 w 384"/>
                                      <a:gd name="T17" fmla="*/ 420 h 589"/>
                                      <a:gd name="T18" fmla="*/ 19 w 384"/>
                                      <a:gd name="T19" fmla="*/ 488 h 589"/>
                                      <a:gd name="T20" fmla="*/ 59 w 384"/>
                                      <a:gd name="T21" fmla="*/ 541 h 589"/>
                                      <a:gd name="T22" fmla="*/ 117 w 384"/>
                                      <a:gd name="T23" fmla="*/ 576 h 589"/>
                                      <a:gd name="T24" fmla="*/ 194 w 384"/>
                                      <a:gd name="T25" fmla="*/ 588 h 589"/>
                                      <a:gd name="T26" fmla="*/ 252 w 384"/>
                                      <a:gd name="T27" fmla="*/ 583 h 589"/>
                                      <a:gd name="T28" fmla="*/ 301 w 384"/>
                                      <a:gd name="T29" fmla="*/ 569 h 589"/>
                                      <a:gd name="T30" fmla="*/ 339 w 384"/>
                                      <a:gd name="T31" fmla="*/ 553 h 589"/>
                                      <a:gd name="T32" fmla="*/ 364 w 384"/>
                                      <a:gd name="T33" fmla="*/ 538 h 589"/>
                                      <a:gd name="T34" fmla="*/ 373 w 384"/>
                                      <a:gd name="T35" fmla="*/ 531 h 589"/>
                                      <a:gd name="T36" fmla="*/ 379 w 384"/>
                                      <a:gd name="T37" fmla="*/ 522 h 589"/>
                                      <a:gd name="T38" fmla="*/ 382 w 384"/>
                                      <a:gd name="T39" fmla="*/ 512 h 589"/>
                                      <a:gd name="T40" fmla="*/ 383 w 384"/>
                                      <a:gd name="T41" fmla="*/ 500 h 589"/>
                                      <a:gd name="T42" fmla="*/ 383 w 384"/>
                                      <a:gd name="T43" fmla="*/ 485 h 589"/>
                                      <a:gd name="T44" fmla="*/ 196 w 384"/>
                                      <a:gd name="T45" fmla="*/ 485 h 589"/>
                                      <a:gd name="T46" fmla="*/ 161 w 384"/>
                                      <a:gd name="T47" fmla="*/ 479 h 589"/>
                                      <a:gd name="T48" fmla="*/ 134 w 384"/>
                                      <a:gd name="T49" fmla="*/ 464 h 589"/>
                                      <a:gd name="T50" fmla="*/ 117 w 384"/>
                                      <a:gd name="T51" fmla="*/ 438 h 589"/>
                                      <a:gd name="T52" fmla="*/ 110 w 384"/>
                                      <a:gd name="T53" fmla="*/ 403 h 589"/>
                                      <a:gd name="T54" fmla="*/ 109 w 384"/>
                                      <a:gd name="T55" fmla="*/ 385 h 589"/>
                                      <a:gd name="T56" fmla="*/ 109 w 384"/>
                                      <a:gd name="T57" fmla="*/ 363 h 589"/>
                                      <a:gd name="T58" fmla="*/ 109 w 384"/>
                                      <a:gd name="T59" fmla="*/ 342 h 589"/>
                                      <a:gd name="T60" fmla="*/ 110 w 384"/>
                                      <a:gd name="T61" fmla="*/ 325 h 589"/>
                                      <a:gd name="T62" fmla="*/ 116 w 384"/>
                                      <a:gd name="T63" fmla="*/ 292 h 589"/>
                                      <a:gd name="T64" fmla="*/ 131 w 384"/>
                                      <a:gd name="T65" fmla="*/ 267 h 589"/>
                                      <a:gd name="T66" fmla="*/ 156 w 384"/>
                                      <a:gd name="T67" fmla="*/ 251 h 589"/>
                                      <a:gd name="T68" fmla="*/ 189 w 384"/>
                                      <a:gd name="T69" fmla="*/ 246 h 589"/>
                                      <a:gd name="T70" fmla="*/ 383 w 384"/>
                                      <a:gd name="T71" fmla="*/ 246 h 589"/>
                                      <a:gd name="T72" fmla="*/ 383 w 384"/>
                                      <a:gd name="T73" fmla="*/ 163 h 589"/>
                                      <a:gd name="T74" fmla="*/ 275 w 384"/>
                                      <a:gd name="T75" fmla="*/ 163 h 589"/>
                                      <a:gd name="T76" fmla="*/ 254 w 384"/>
                                      <a:gd name="T77" fmla="*/ 155 h 589"/>
                                      <a:gd name="T78" fmla="*/ 230 w 384"/>
                                      <a:gd name="T79" fmla="*/ 148 h 589"/>
                                      <a:gd name="T80" fmla="*/ 204 w 384"/>
                                      <a:gd name="T81" fmla="*/ 144 h 589"/>
                                      <a:gd name="T82" fmla="*/ 179 w 384"/>
                                      <a:gd name="T83" fmla="*/ 142 h 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84" h="589">
                                        <a:moveTo>
                                          <a:pt x="179" y="142"/>
                                        </a:moveTo>
                                        <a:lnTo>
                                          <a:pt x="107" y="154"/>
                                        </a:lnTo>
                                        <a:lnTo>
                                          <a:pt x="53" y="187"/>
                                        </a:lnTo>
                                        <a:lnTo>
                                          <a:pt x="18" y="239"/>
                                        </a:lnTo>
                                        <a:lnTo>
                                          <a:pt x="1" y="308"/>
                                        </a:lnTo>
                                        <a:lnTo>
                                          <a:pt x="0" y="334"/>
                                        </a:lnTo>
                                        <a:lnTo>
                                          <a:pt x="0" y="364"/>
                                        </a:lnTo>
                                        <a:lnTo>
                                          <a:pt x="0" y="394"/>
                                        </a:lnTo>
                                        <a:lnTo>
                                          <a:pt x="1" y="420"/>
                                        </a:lnTo>
                                        <a:lnTo>
                                          <a:pt x="19" y="488"/>
                                        </a:lnTo>
                                        <a:lnTo>
                                          <a:pt x="59" y="541"/>
                                        </a:lnTo>
                                        <a:lnTo>
                                          <a:pt x="117" y="576"/>
                                        </a:lnTo>
                                        <a:lnTo>
                                          <a:pt x="194" y="588"/>
                                        </a:lnTo>
                                        <a:lnTo>
                                          <a:pt x="252" y="583"/>
                                        </a:lnTo>
                                        <a:lnTo>
                                          <a:pt x="301" y="569"/>
                                        </a:lnTo>
                                        <a:lnTo>
                                          <a:pt x="339" y="553"/>
                                        </a:lnTo>
                                        <a:lnTo>
                                          <a:pt x="364" y="538"/>
                                        </a:lnTo>
                                        <a:lnTo>
                                          <a:pt x="373" y="531"/>
                                        </a:lnTo>
                                        <a:lnTo>
                                          <a:pt x="379" y="522"/>
                                        </a:lnTo>
                                        <a:lnTo>
                                          <a:pt x="382" y="512"/>
                                        </a:lnTo>
                                        <a:lnTo>
                                          <a:pt x="383" y="500"/>
                                        </a:lnTo>
                                        <a:lnTo>
                                          <a:pt x="383" y="485"/>
                                        </a:lnTo>
                                        <a:lnTo>
                                          <a:pt x="196" y="485"/>
                                        </a:lnTo>
                                        <a:lnTo>
                                          <a:pt x="161" y="479"/>
                                        </a:lnTo>
                                        <a:lnTo>
                                          <a:pt x="134" y="464"/>
                                        </a:lnTo>
                                        <a:lnTo>
                                          <a:pt x="117" y="438"/>
                                        </a:lnTo>
                                        <a:lnTo>
                                          <a:pt x="110" y="403"/>
                                        </a:lnTo>
                                        <a:lnTo>
                                          <a:pt x="109" y="385"/>
                                        </a:lnTo>
                                        <a:lnTo>
                                          <a:pt x="109" y="363"/>
                                        </a:lnTo>
                                        <a:lnTo>
                                          <a:pt x="109" y="342"/>
                                        </a:lnTo>
                                        <a:lnTo>
                                          <a:pt x="110" y="325"/>
                                        </a:lnTo>
                                        <a:lnTo>
                                          <a:pt x="116" y="292"/>
                                        </a:lnTo>
                                        <a:lnTo>
                                          <a:pt x="131" y="267"/>
                                        </a:lnTo>
                                        <a:lnTo>
                                          <a:pt x="156" y="251"/>
                                        </a:lnTo>
                                        <a:lnTo>
                                          <a:pt x="189" y="246"/>
                                        </a:lnTo>
                                        <a:lnTo>
                                          <a:pt x="383" y="246"/>
                                        </a:lnTo>
                                        <a:lnTo>
                                          <a:pt x="383" y="163"/>
                                        </a:lnTo>
                                        <a:lnTo>
                                          <a:pt x="275" y="163"/>
                                        </a:lnTo>
                                        <a:lnTo>
                                          <a:pt x="254" y="155"/>
                                        </a:lnTo>
                                        <a:lnTo>
                                          <a:pt x="230" y="148"/>
                                        </a:lnTo>
                                        <a:lnTo>
                                          <a:pt x="204" y="144"/>
                                        </a:lnTo>
                                        <a:lnTo>
                                          <a:pt x="179" y="142"/>
                                        </a:lnTo>
                                        <a:close/>
                                      </a:path>
                                    </a:pathLst>
                                  </a:custGeom>
                                  <a:solidFill>
                                    <a:srgbClr val="00A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
                                <wps:cNvSpPr>
                                  <a:spLocks/>
                                </wps:cNvSpPr>
                                <wps:spPr bwMode="auto">
                                  <a:xfrm>
                                    <a:off x="0" y="0"/>
                                    <a:ext cx="384" cy="589"/>
                                  </a:xfrm>
                                  <a:custGeom>
                                    <a:avLst/>
                                    <a:gdLst>
                                      <a:gd name="T0" fmla="*/ 383 w 384"/>
                                      <a:gd name="T1" fmla="*/ 246 h 589"/>
                                      <a:gd name="T2" fmla="*/ 189 w 384"/>
                                      <a:gd name="T3" fmla="*/ 246 h 589"/>
                                      <a:gd name="T4" fmla="*/ 216 w 384"/>
                                      <a:gd name="T5" fmla="*/ 248 h 589"/>
                                      <a:gd name="T6" fmla="*/ 240 w 384"/>
                                      <a:gd name="T7" fmla="*/ 254 h 589"/>
                                      <a:gd name="T8" fmla="*/ 261 w 384"/>
                                      <a:gd name="T9" fmla="*/ 261 h 589"/>
                                      <a:gd name="T10" fmla="*/ 275 w 384"/>
                                      <a:gd name="T11" fmla="*/ 268 h 589"/>
                                      <a:gd name="T12" fmla="*/ 275 w 384"/>
                                      <a:gd name="T13" fmla="*/ 459 h 589"/>
                                      <a:gd name="T14" fmla="*/ 261 w 384"/>
                                      <a:gd name="T15" fmla="*/ 468 h 589"/>
                                      <a:gd name="T16" fmla="*/ 241 w 384"/>
                                      <a:gd name="T17" fmla="*/ 476 h 589"/>
                                      <a:gd name="T18" fmla="*/ 218 w 384"/>
                                      <a:gd name="T19" fmla="*/ 482 h 589"/>
                                      <a:gd name="T20" fmla="*/ 196 w 384"/>
                                      <a:gd name="T21" fmla="*/ 485 h 589"/>
                                      <a:gd name="T22" fmla="*/ 383 w 384"/>
                                      <a:gd name="T23" fmla="*/ 485 h 589"/>
                                      <a:gd name="T24" fmla="*/ 383 w 384"/>
                                      <a:gd name="T25" fmla="*/ 246 h 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4" h="589">
                                        <a:moveTo>
                                          <a:pt x="383" y="246"/>
                                        </a:moveTo>
                                        <a:lnTo>
                                          <a:pt x="189" y="246"/>
                                        </a:lnTo>
                                        <a:lnTo>
                                          <a:pt x="216" y="248"/>
                                        </a:lnTo>
                                        <a:lnTo>
                                          <a:pt x="240" y="254"/>
                                        </a:lnTo>
                                        <a:lnTo>
                                          <a:pt x="261" y="261"/>
                                        </a:lnTo>
                                        <a:lnTo>
                                          <a:pt x="275" y="268"/>
                                        </a:lnTo>
                                        <a:lnTo>
                                          <a:pt x="275" y="459"/>
                                        </a:lnTo>
                                        <a:lnTo>
                                          <a:pt x="261" y="468"/>
                                        </a:lnTo>
                                        <a:lnTo>
                                          <a:pt x="241" y="476"/>
                                        </a:lnTo>
                                        <a:lnTo>
                                          <a:pt x="218" y="482"/>
                                        </a:lnTo>
                                        <a:lnTo>
                                          <a:pt x="196" y="485"/>
                                        </a:lnTo>
                                        <a:lnTo>
                                          <a:pt x="383" y="485"/>
                                        </a:lnTo>
                                        <a:lnTo>
                                          <a:pt x="383" y="246"/>
                                        </a:lnTo>
                                        <a:close/>
                                      </a:path>
                                    </a:pathLst>
                                  </a:custGeom>
                                  <a:solidFill>
                                    <a:srgbClr val="00A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9"/>
                                <wps:cNvSpPr>
                                  <a:spLocks/>
                                </wps:cNvSpPr>
                                <wps:spPr bwMode="auto">
                                  <a:xfrm>
                                    <a:off x="0" y="0"/>
                                    <a:ext cx="384" cy="589"/>
                                  </a:xfrm>
                                  <a:custGeom>
                                    <a:avLst/>
                                    <a:gdLst>
                                      <a:gd name="T0" fmla="*/ 329 w 384"/>
                                      <a:gd name="T1" fmla="*/ 0 h 589"/>
                                      <a:gd name="T2" fmla="*/ 308 w 384"/>
                                      <a:gd name="T3" fmla="*/ 4 h 589"/>
                                      <a:gd name="T4" fmla="*/ 291 w 384"/>
                                      <a:gd name="T5" fmla="*/ 16 h 589"/>
                                      <a:gd name="T6" fmla="*/ 279 w 384"/>
                                      <a:gd name="T7" fmla="*/ 33 h 589"/>
                                      <a:gd name="T8" fmla="*/ 275 w 384"/>
                                      <a:gd name="T9" fmla="*/ 55 h 589"/>
                                      <a:gd name="T10" fmla="*/ 275 w 384"/>
                                      <a:gd name="T11" fmla="*/ 163 h 589"/>
                                      <a:gd name="T12" fmla="*/ 383 w 384"/>
                                      <a:gd name="T13" fmla="*/ 163 h 589"/>
                                      <a:gd name="T14" fmla="*/ 383 w 384"/>
                                      <a:gd name="T15" fmla="*/ 55 h 589"/>
                                      <a:gd name="T16" fmla="*/ 379 w 384"/>
                                      <a:gd name="T17" fmla="*/ 33 h 589"/>
                                      <a:gd name="T18" fmla="*/ 368 w 384"/>
                                      <a:gd name="T19" fmla="*/ 16 h 589"/>
                                      <a:gd name="T20" fmla="*/ 351 w 384"/>
                                      <a:gd name="T21" fmla="*/ 4 h 589"/>
                                      <a:gd name="T22" fmla="*/ 329 w 384"/>
                                      <a:gd name="T23" fmla="*/ 0 h 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4" h="589">
                                        <a:moveTo>
                                          <a:pt x="329" y="0"/>
                                        </a:moveTo>
                                        <a:lnTo>
                                          <a:pt x="308" y="4"/>
                                        </a:lnTo>
                                        <a:lnTo>
                                          <a:pt x="291" y="16"/>
                                        </a:lnTo>
                                        <a:lnTo>
                                          <a:pt x="279" y="33"/>
                                        </a:lnTo>
                                        <a:lnTo>
                                          <a:pt x="275" y="55"/>
                                        </a:lnTo>
                                        <a:lnTo>
                                          <a:pt x="275" y="163"/>
                                        </a:lnTo>
                                        <a:lnTo>
                                          <a:pt x="383" y="163"/>
                                        </a:lnTo>
                                        <a:lnTo>
                                          <a:pt x="383" y="55"/>
                                        </a:lnTo>
                                        <a:lnTo>
                                          <a:pt x="379" y="33"/>
                                        </a:lnTo>
                                        <a:lnTo>
                                          <a:pt x="368" y="16"/>
                                        </a:lnTo>
                                        <a:lnTo>
                                          <a:pt x="351" y="4"/>
                                        </a:lnTo>
                                        <a:lnTo>
                                          <a:pt x="329" y="0"/>
                                        </a:lnTo>
                                        <a:close/>
                                      </a:path>
                                    </a:pathLst>
                                  </a:custGeom>
                                  <a:solidFill>
                                    <a:srgbClr val="00A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5846AC2" id="Group 36" o:spid="_x0000_s1026" style="width:19.2pt;height:29.45pt;mso-position-horizontal-relative:char;mso-position-vertical-relative:line" coordsize="384,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">
                      <v:group id="Group 16" o:spid="_x0000_s1027" style="position:absolute;width:384;height:589" coordsize="38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28" style="position:absolute;width:384;height:589;visibility:visible;mso-wrap-style:square;v-text-anchor:top" coordsize="38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" path="m179,142r-72,12l53,187,18,239,1,308,,334r,30l,394r1,26l19,488r40,53l117,576r77,12l252,583r49,-14l339,553r25,-15l373,531r6,-9l382,512r1,-12l383,485r-187,l161,479,134,464,117,438r-7,-35l109,385r,-22l109,342r1,-17l116,292r15,-25l156,251r33,-5l383,246r,-83l275,163r-21,-8l230,148r-26,-4l179,142xe" fillcolor="#00a1e4" stroked="f">
                          <v:path arrowok="t" o:connecttype="custom" o:connectlocs="179,142;107,154;53,187;18,239;1,308;0,334;0,364;0,394;1,420;19,488;59,541;117,576;194,588;252,583;301,569;339,553;364,538;373,531;379,522;382,512;383,500;383,485;196,485;161,479;134,464;117,438;110,403;109,385;109,363;109,342;110,325;116,292;131,267;156,251;189,246;383,246;383,163;275,163;254,155;230,148;204,144;179,142" o:connectangles="0,0,0,0,0,0,0,0,0,0,0,0,0,0,0,0,0,0,0,0,0,0,0,0,0,0,0,0,0,0,0,0,0,0,0,0,0,0,0,0,0,0"/>
                        </v:shape>
                        <v:shape id="Freeform 18" o:spid="_x0000_s1029" style="position:absolute;width:384;height:589;visibility:visible;mso-wrap-style:square;v-text-anchor:top" coordsize="38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" path="m383,246r-194,l216,248r24,6l261,261r14,7l275,459r-14,9l241,476r-23,6l196,485r187,l383,246xe" fillcolor="#00a1e4" stroked="f">
                          <v:path arrowok="t" o:connecttype="custom" o:connectlocs="383,246;189,246;216,248;240,254;261,261;275,268;275,459;261,468;241,476;218,482;196,485;383,485;383,246" o:connectangles="0,0,0,0,0,0,0,0,0,0,0,0,0"/>
                        </v:shape>
                        <v:shape id="Freeform 19" o:spid="_x0000_s1030" style="position:absolute;width:384;height:589;visibility:visible;mso-wrap-style:square;v-text-anchor:top" coordsize="38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" path="m329,l308,4,291,16,279,33r-4,22l275,163r108,l383,55,379,33,368,16,351,4,329,xe" fillcolor="#00a1e4" stroked="f">
                          <v:path arrowok="t" o:connecttype="custom" o:connectlocs="329,0;308,4;291,16;279,33;275,55;275,163;383,163;383,55;379,33;368,16;351,4;329,0" o:connectangles="0,0,0,0,0,0,0,0,0,0,0,0"/>
                        </v:shape>
                      </v:group>
                      <w10:anchorlock/>
                    </v:group>
                  </w:pict>
                </mc:Fallback>
              </mc:AlternateContent>
            </w:r>
            <w:r w:rsidRPr="00977168">
              <w:rPr>
                <w:rFonts w:ascii="Times New Roman" w:hAnsi="Times New Roman" w:cs="Times New Roman"/>
                <w:noProof/>
                <w:spacing w:val="39"/>
                <w:sz w:val="16"/>
                <w:szCs w:val="16"/>
              </w:rPr>
              <mc:AlternateContent>
                <mc:Choice Requires="wpg">
                  <w:drawing>
                    <wp:inline distT="0" distB="0" distL="0" distR="0" wp14:anchorId="1BDC18E2" wp14:editId="65B3477A">
                      <wp:extent cx="240665" cy="283845"/>
                      <wp:effectExtent l="9525" t="0" r="6985" b="1905"/>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283845"/>
                                <a:chOff x="0" y="0"/>
                                <a:chExt cx="379" cy="447"/>
                              </a:xfrm>
                            </wpg:grpSpPr>
                            <wpg:grpSp>
                              <wpg:cNvPr id="32" name="Group 21"/>
                              <wpg:cNvGrpSpPr>
                                <a:grpSpLocks/>
                              </wpg:cNvGrpSpPr>
                              <wpg:grpSpPr bwMode="auto">
                                <a:xfrm>
                                  <a:off x="0" y="0"/>
                                  <a:ext cx="379" cy="447"/>
                                  <a:chOff x="0" y="0"/>
                                  <a:chExt cx="379" cy="447"/>
                                </a:xfrm>
                              </wpg:grpSpPr>
                              <wps:wsp>
                                <wps:cNvPr id="33" name="Freeform 22"/>
                                <wps:cNvSpPr>
                                  <a:spLocks/>
                                </wps:cNvSpPr>
                                <wps:spPr bwMode="auto">
                                  <a:xfrm>
                                    <a:off x="0" y="0"/>
                                    <a:ext cx="379" cy="447"/>
                                  </a:xfrm>
                                  <a:custGeom>
                                    <a:avLst/>
                                    <a:gdLst>
                                      <a:gd name="T0" fmla="*/ 192 w 379"/>
                                      <a:gd name="T1" fmla="*/ 0 h 447"/>
                                      <a:gd name="T2" fmla="*/ 119 w 379"/>
                                      <a:gd name="T3" fmla="*/ 12 h 447"/>
                                      <a:gd name="T4" fmla="*/ 61 w 379"/>
                                      <a:gd name="T5" fmla="*/ 46 h 447"/>
                                      <a:gd name="T6" fmla="*/ 20 w 379"/>
                                      <a:gd name="T7" fmla="*/ 101 h 447"/>
                                      <a:gd name="T8" fmla="*/ 1 w 379"/>
                                      <a:gd name="T9" fmla="*/ 172 h 447"/>
                                      <a:gd name="T10" fmla="*/ 0 w 379"/>
                                      <a:gd name="T11" fmla="*/ 194 h 447"/>
                                      <a:gd name="T12" fmla="*/ 0 w 379"/>
                                      <a:gd name="T13" fmla="*/ 221 h 447"/>
                                      <a:gd name="T14" fmla="*/ 0 w 379"/>
                                      <a:gd name="T15" fmla="*/ 248 h 447"/>
                                      <a:gd name="T16" fmla="*/ 1 w 379"/>
                                      <a:gd name="T17" fmla="*/ 274 h 447"/>
                                      <a:gd name="T18" fmla="*/ 19 w 379"/>
                                      <a:gd name="T19" fmla="*/ 343 h 447"/>
                                      <a:gd name="T20" fmla="*/ 60 w 379"/>
                                      <a:gd name="T21" fmla="*/ 398 h 447"/>
                                      <a:gd name="T22" fmla="*/ 120 w 379"/>
                                      <a:gd name="T23" fmla="*/ 433 h 447"/>
                                      <a:gd name="T24" fmla="*/ 197 w 379"/>
                                      <a:gd name="T25" fmla="*/ 446 h 447"/>
                                      <a:gd name="T26" fmla="*/ 235 w 379"/>
                                      <a:gd name="T27" fmla="*/ 444 h 447"/>
                                      <a:gd name="T28" fmla="*/ 272 w 379"/>
                                      <a:gd name="T29" fmla="*/ 438 h 447"/>
                                      <a:gd name="T30" fmla="*/ 304 w 379"/>
                                      <a:gd name="T31" fmla="*/ 429 h 447"/>
                                      <a:gd name="T32" fmla="*/ 330 w 379"/>
                                      <a:gd name="T33" fmla="*/ 417 h 447"/>
                                      <a:gd name="T34" fmla="*/ 344 w 379"/>
                                      <a:gd name="T35" fmla="*/ 407 h 447"/>
                                      <a:gd name="T36" fmla="*/ 352 w 379"/>
                                      <a:gd name="T37" fmla="*/ 395 h 447"/>
                                      <a:gd name="T38" fmla="*/ 357 w 379"/>
                                      <a:gd name="T39" fmla="*/ 384 h 447"/>
                                      <a:gd name="T40" fmla="*/ 358 w 379"/>
                                      <a:gd name="T41" fmla="*/ 372 h 447"/>
                                      <a:gd name="T42" fmla="*/ 353 w 379"/>
                                      <a:gd name="T43" fmla="*/ 350 h 447"/>
                                      <a:gd name="T44" fmla="*/ 350 w 379"/>
                                      <a:gd name="T45" fmla="*/ 347 h 447"/>
                                      <a:gd name="T46" fmla="*/ 200 w 379"/>
                                      <a:gd name="T47" fmla="*/ 347 h 447"/>
                                      <a:gd name="T48" fmla="*/ 162 w 379"/>
                                      <a:gd name="T49" fmla="*/ 342 h 447"/>
                                      <a:gd name="T50" fmla="*/ 133 w 379"/>
                                      <a:gd name="T51" fmla="*/ 327 h 447"/>
                                      <a:gd name="T52" fmla="*/ 113 w 379"/>
                                      <a:gd name="T53" fmla="*/ 302 h 447"/>
                                      <a:gd name="T54" fmla="*/ 106 w 379"/>
                                      <a:gd name="T55" fmla="*/ 268 h 447"/>
                                      <a:gd name="T56" fmla="*/ 106 w 379"/>
                                      <a:gd name="T57" fmla="*/ 260 h 447"/>
                                      <a:gd name="T58" fmla="*/ 322 w 379"/>
                                      <a:gd name="T59" fmla="*/ 260 h 447"/>
                                      <a:gd name="T60" fmla="*/ 348 w 379"/>
                                      <a:gd name="T61" fmla="*/ 256 h 447"/>
                                      <a:gd name="T62" fmla="*/ 365 w 379"/>
                                      <a:gd name="T63" fmla="*/ 245 h 447"/>
                                      <a:gd name="T64" fmla="*/ 375 w 379"/>
                                      <a:gd name="T65" fmla="*/ 227 h 447"/>
                                      <a:gd name="T66" fmla="*/ 378 w 379"/>
                                      <a:gd name="T67" fmla="*/ 206 h 447"/>
                                      <a:gd name="T68" fmla="*/ 378 w 379"/>
                                      <a:gd name="T69" fmla="*/ 188 h 447"/>
                                      <a:gd name="T70" fmla="*/ 378 w 379"/>
                                      <a:gd name="T71" fmla="*/ 186 h 447"/>
                                      <a:gd name="T72" fmla="*/ 106 w 379"/>
                                      <a:gd name="T73" fmla="*/ 186 h 447"/>
                                      <a:gd name="T74" fmla="*/ 112 w 379"/>
                                      <a:gd name="T75" fmla="*/ 148 h 447"/>
                                      <a:gd name="T76" fmla="*/ 128 w 379"/>
                                      <a:gd name="T77" fmla="*/ 119 h 447"/>
                                      <a:gd name="T78" fmla="*/ 155 w 379"/>
                                      <a:gd name="T79" fmla="*/ 100 h 447"/>
                                      <a:gd name="T80" fmla="*/ 192 w 379"/>
                                      <a:gd name="T81" fmla="*/ 94 h 447"/>
                                      <a:gd name="T82" fmla="*/ 354 w 379"/>
                                      <a:gd name="T83" fmla="*/ 94 h 447"/>
                                      <a:gd name="T84" fmla="*/ 327 w 379"/>
                                      <a:gd name="T85" fmla="*/ 51 h 447"/>
                                      <a:gd name="T86" fmla="*/ 268 w 379"/>
                                      <a:gd name="T87" fmla="*/ 13 h 447"/>
                                      <a:gd name="T88" fmla="*/ 192 w 379"/>
                                      <a:gd name="T89" fmla="*/ 0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79" h="447">
                                        <a:moveTo>
                                          <a:pt x="192" y="0"/>
                                        </a:moveTo>
                                        <a:lnTo>
                                          <a:pt x="119" y="12"/>
                                        </a:lnTo>
                                        <a:lnTo>
                                          <a:pt x="61" y="46"/>
                                        </a:lnTo>
                                        <a:lnTo>
                                          <a:pt x="20" y="101"/>
                                        </a:lnTo>
                                        <a:lnTo>
                                          <a:pt x="1" y="172"/>
                                        </a:lnTo>
                                        <a:lnTo>
                                          <a:pt x="0" y="194"/>
                                        </a:lnTo>
                                        <a:lnTo>
                                          <a:pt x="0" y="221"/>
                                        </a:lnTo>
                                        <a:lnTo>
                                          <a:pt x="0" y="248"/>
                                        </a:lnTo>
                                        <a:lnTo>
                                          <a:pt x="1" y="274"/>
                                        </a:lnTo>
                                        <a:lnTo>
                                          <a:pt x="19" y="343"/>
                                        </a:lnTo>
                                        <a:lnTo>
                                          <a:pt x="60" y="398"/>
                                        </a:lnTo>
                                        <a:lnTo>
                                          <a:pt x="120" y="433"/>
                                        </a:lnTo>
                                        <a:lnTo>
                                          <a:pt x="197" y="446"/>
                                        </a:lnTo>
                                        <a:lnTo>
                                          <a:pt x="235" y="444"/>
                                        </a:lnTo>
                                        <a:lnTo>
                                          <a:pt x="272" y="438"/>
                                        </a:lnTo>
                                        <a:lnTo>
                                          <a:pt x="304" y="429"/>
                                        </a:lnTo>
                                        <a:lnTo>
                                          <a:pt x="330" y="417"/>
                                        </a:lnTo>
                                        <a:lnTo>
                                          <a:pt x="344" y="407"/>
                                        </a:lnTo>
                                        <a:lnTo>
                                          <a:pt x="352" y="395"/>
                                        </a:lnTo>
                                        <a:lnTo>
                                          <a:pt x="357" y="384"/>
                                        </a:lnTo>
                                        <a:lnTo>
                                          <a:pt x="358" y="372"/>
                                        </a:lnTo>
                                        <a:lnTo>
                                          <a:pt x="353" y="350"/>
                                        </a:lnTo>
                                        <a:lnTo>
                                          <a:pt x="350" y="347"/>
                                        </a:lnTo>
                                        <a:lnTo>
                                          <a:pt x="200" y="347"/>
                                        </a:lnTo>
                                        <a:lnTo>
                                          <a:pt x="162" y="342"/>
                                        </a:lnTo>
                                        <a:lnTo>
                                          <a:pt x="133" y="327"/>
                                        </a:lnTo>
                                        <a:lnTo>
                                          <a:pt x="113" y="302"/>
                                        </a:lnTo>
                                        <a:lnTo>
                                          <a:pt x="106" y="268"/>
                                        </a:lnTo>
                                        <a:lnTo>
                                          <a:pt x="106" y="260"/>
                                        </a:lnTo>
                                        <a:lnTo>
                                          <a:pt x="322" y="260"/>
                                        </a:lnTo>
                                        <a:lnTo>
                                          <a:pt x="348" y="256"/>
                                        </a:lnTo>
                                        <a:lnTo>
                                          <a:pt x="365" y="245"/>
                                        </a:lnTo>
                                        <a:lnTo>
                                          <a:pt x="375" y="227"/>
                                        </a:lnTo>
                                        <a:lnTo>
                                          <a:pt x="378" y="206"/>
                                        </a:lnTo>
                                        <a:lnTo>
                                          <a:pt x="378" y="188"/>
                                        </a:lnTo>
                                        <a:lnTo>
                                          <a:pt x="378" y="186"/>
                                        </a:lnTo>
                                        <a:lnTo>
                                          <a:pt x="106" y="186"/>
                                        </a:lnTo>
                                        <a:lnTo>
                                          <a:pt x="112" y="148"/>
                                        </a:lnTo>
                                        <a:lnTo>
                                          <a:pt x="128" y="119"/>
                                        </a:lnTo>
                                        <a:lnTo>
                                          <a:pt x="155" y="100"/>
                                        </a:lnTo>
                                        <a:lnTo>
                                          <a:pt x="192" y="94"/>
                                        </a:lnTo>
                                        <a:lnTo>
                                          <a:pt x="354" y="94"/>
                                        </a:lnTo>
                                        <a:lnTo>
                                          <a:pt x="327" y="51"/>
                                        </a:lnTo>
                                        <a:lnTo>
                                          <a:pt x="268" y="13"/>
                                        </a:lnTo>
                                        <a:lnTo>
                                          <a:pt x="192" y="0"/>
                                        </a:lnTo>
                                        <a:close/>
                                      </a:path>
                                    </a:pathLst>
                                  </a:custGeom>
                                  <a:solidFill>
                                    <a:srgbClr val="00A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3"/>
                                <wps:cNvSpPr>
                                  <a:spLocks/>
                                </wps:cNvSpPr>
                                <wps:spPr bwMode="auto">
                                  <a:xfrm>
                                    <a:off x="0" y="0"/>
                                    <a:ext cx="379" cy="447"/>
                                  </a:xfrm>
                                  <a:custGeom>
                                    <a:avLst/>
                                    <a:gdLst>
                                      <a:gd name="T0" fmla="*/ 316 w 379"/>
                                      <a:gd name="T1" fmla="*/ 324 h 447"/>
                                      <a:gd name="T2" fmla="*/ 287 w 379"/>
                                      <a:gd name="T3" fmla="*/ 329 h 447"/>
                                      <a:gd name="T4" fmla="*/ 265 w 379"/>
                                      <a:gd name="T5" fmla="*/ 336 h 447"/>
                                      <a:gd name="T6" fmla="*/ 244 w 379"/>
                                      <a:gd name="T7" fmla="*/ 342 h 447"/>
                                      <a:gd name="T8" fmla="*/ 222 w 379"/>
                                      <a:gd name="T9" fmla="*/ 345 h 447"/>
                                      <a:gd name="T10" fmla="*/ 200 w 379"/>
                                      <a:gd name="T11" fmla="*/ 347 h 447"/>
                                      <a:gd name="T12" fmla="*/ 350 w 379"/>
                                      <a:gd name="T13" fmla="*/ 347 h 447"/>
                                      <a:gd name="T14" fmla="*/ 338 w 379"/>
                                      <a:gd name="T15" fmla="*/ 333 h 447"/>
                                      <a:gd name="T16" fmla="*/ 316 w 379"/>
                                      <a:gd name="T17" fmla="*/ 324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9" h="447">
                                        <a:moveTo>
                                          <a:pt x="316" y="324"/>
                                        </a:moveTo>
                                        <a:lnTo>
                                          <a:pt x="287" y="329"/>
                                        </a:lnTo>
                                        <a:lnTo>
                                          <a:pt x="265" y="336"/>
                                        </a:lnTo>
                                        <a:lnTo>
                                          <a:pt x="244" y="342"/>
                                        </a:lnTo>
                                        <a:lnTo>
                                          <a:pt x="222" y="345"/>
                                        </a:lnTo>
                                        <a:lnTo>
                                          <a:pt x="200" y="347"/>
                                        </a:lnTo>
                                        <a:lnTo>
                                          <a:pt x="350" y="347"/>
                                        </a:lnTo>
                                        <a:lnTo>
                                          <a:pt x="338" y="333"/>
                                        </a:lnTo>
                                        <a:lnTo>
                                          <a:pt x="316" y="324"/>
                                        </a:lnTo>
                                        <a:close/>
                                      </a:path>
                                    </a:pathLst>
                                  </a:custGeom>
                                  <a:solidFill>
                                    <a:srgbClr val="00A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4"/>
                                <wps:cNvSpPr>
                                  <a:spLocks/>
                                </wps:cNvSpPr>
                                <wps:spPr bwMode="auto">
                                  <a:xfrm>
                                    <a:off x="0" y="0"/>
                                    <a:ext cx="379" cy="447"/>
                                  </a:xfrm>
                                  <a:custGeom>
                                    <a:avLst/>
                                    <a:gdLst>
                                      <a:gd name="T0" fmla="*/ 354 w 379"/>
                                      <a:gd name="T1" fmla="*/ 94 h 447"/>
                                      <a:gd name="T2" fmla="*/ 192 w 379"/>
                                      <a:gd name="T3" fmla="*/ 94 h 447"/>
                                      <a:gd name="T4" fmla="*/ 228 w 379"/>
                                      <a:gd name="T5" fmla="*/ 100 h 447"/>
                                      <a:gd name="T6" fmla="*/ 254 w 379"/>
                                      <a:gd name="T7" fmla="*/ 116 h 447"/>
                                      <a:gd name="T8" fmla="*/ 269 w 379"/>
                                      <a:gd name="T9" fmla="*/ 143 h 447"/>
                                      <a:gd name="T10" fmla="*/ 274 w 379"/>
                                      <a:gd name="T11" fmla="*/ 176 h 447"/>
                                      <a:gd name="T12" fmla="*/ 274 w 379"/>
                                      <a:gd name="T13" fmla="*/ 183 h 447"/>
                                      <a:gd name="T14" fmla="*/ 270 w 379"/>
                                      <a:gd name="T15" fmla="*/ 186 h 447"/>
                                      <a:gd name="T16" fmla="*/ 378 w 379"/>
                                      <a:gd name="T17" fmla="*/ 186 h 447"/>
                                      <a:gd name="T18" fmla="*/ 365 w 379"/>
                                      <a:gd name="T19" fmla="*/ 110 h 447"/>
                                      <a:gd name="T20" fmla="*/ 354 w 379"/>
                                      <a:gd name="T21" fmla="*/ 94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9" h="447">
                                        <a:moveTo>
                                          <a:pt x="354" y="94"/>
                                        </a:moveTo>
                                        <a:lnTo>
                                          <a:pt x="192" y="94"/>
                                        </a:lnTo>
                                        <a:lnTo>
                                          <a:pt x="228" y="100"/>
                                        </a:lnTo>
                                        <a:lnTo>
                                          <a:pt x="254" y="116"/>
                                        </a:lnTo>
                                        <a:lnTo>
                                          <a:pt x="269" y="143"/>
                                        </a:lnTo>
                                        <a:lnTo>
                                          <a:pt x="274" y="176"/>
                                        </a:lnTo>
                                        <a:lnTo>
                                          <a:pt x="274" y="183"/>
                                        </a:lnTo>
                                        <a:lnTo>
                                          <a:pt x="270" y="186"/>
                                        </a:lnTo>
                                        <a:lnTo>
                                          <a:pt x="378" y="186"/>
                                        </a:lnTo>
                                        <a:lnTo>
                                          <a:pt x="365" y="110"/>
                                        </a:lnTo>
                                        <a:lnTo>
                                          <a:pt x="354" y="94"/>
                                        </a:lnTo>
                                        <a:close/>
                                      </a:path>
                                    </a:pathLst>
                                  </a:custGeom>
                                  <a:solidFill>
                                    <a:srgbClr val="00A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12BC558" id="Group 31" o:spid="_x0000_s1026" style="width:18.95pt;height:22.35pt;mso-position-horizontal-relative:char;mso-position-vertical-relative:line" coordsize="379,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">
                      <v:group id="Group 21" o:spid="_x0000_s1027" style="position:absolute;width:379;height:447" coordsize="37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2" o:spid="_x0000_s1028" style="position:absolute;width:379;height:447;visibility:visible;mso-wrap-style:square;v-text-anchor:top" coordsize="37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" path="m192,l119,12,61,46,20,101,1,172,,194r,27l,248r1,26l19,343r41,55l120,433r77,13l235,444r37,-6l304,429r26,-12l344,407r8,-12l357,384r1,-12l353,350r-3,-3l200,347r-38,-5l133,327,113,302r-7,-34l106,260r216,l348,256r17,-11l375,227r3,-21l378,188r,-2l106,186r6,-38l128,119r27,-19l192,94r162,l327,51,268,13,192,xe" fillcolor="#00a1e4" stroked="f">
                          <v:path arrowok="t" o:connecttype="custom" o:connectlocs="192,0;119,12;61,46;20,101;1,172;0,194;0,221;0,248;1,274;19,343;60,398;120,433;197,446;235,444;272,438;304,429;330,417;344,407;352,395;357,384;358,372;353,350;350,347;200,347;162,342;133,327;113,302;106,268;106,260;322,260;348,256;365,245;375,227;378,206;378,188;378,186;106,186;112,148;128,119;155,100;192,94;354,94;327,51;268,13;192,0" o:connectangles="0,0,0,0,0,0,0,0,0,0,0,0,0,0,0,0,0,0,0,0,0,0,0,0,0,0,0,0,0,0,0,0,0,0,0,0,0,0,0,0,0,0,0,0,0"/>
                        </v:shape>
                        <v:shape id="Freeform 23" o:spid="_x0000_s1029" style="position:absolute;width:379;height:447;visibility:visible;mso-wrap-style:square;v-text-anchor:top" coordsize="37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" path="m316,324r-29,5l265,336r-21,6l222,345r-22,2l350,347,338,333r-22,-9xe" fillcolor="#00a1e4" stroked="f">
                          <v:path arrowok="t" o:connecttype="custom" o:connectlocs="316,324;287,329;265,336;244,342;222,345;200,347;350,347;338,333;316,324" o:connectangles="0,0,0,0,0,0,0,0,0"/>
                        </v:shape>
                        <v:shape id="Freeform 24" o:spid="_x0000_s1030" style="position:absolute;width:379;height:447;visibility:visible;mso-wrap-style:square;v-text-anchor:top" coordsize="37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" path="m354,94r-162,l228,100r26,16l269,143r5,33l274,183r-4,3l378,186,365,110,354,94xe" fillcolor="#00a1e4" stroked="f">
                          <v:path arrowok="t" o:connecttype="custom" o:connectlocs="354,94;192,94;228,100;254,116;269,143;274,176;274,183;270,186;378,186;365,110;354,94" o:connectangles="0,0,0,0,0,0,0,0,0,0,0"/>
                        </v:shape>
                      </v:group>
                      <w10:anchorlock/>
                    </v:group>
                  </w:pict>
                </mc:Fallback>
              </mc:AlternateContent>
            </w:r>
            <w:r w:rsidRPr="00977168">
              <w:rPr>
                <w:rFonts w:ascii="Times New Roman" w:hAnsi="Times New Roman" w:cs="Times New Roman"/>
                <w:noProof/>
                <w:sz w:val="16"/>
                <w:szCs w:val="16"/>
              </w:rPr>
              <mc:AlternateContent>
                <mc:Choice Requires="wpg">
                  <w:drawing>
                    <wp:inline distT="0" distB="0" distL="0" distR="0" wp14:anchorId="29CA080F" wp14:editId="46A40123">
                      <wp:extent cx="370205" cy="281940"/>
                      <wp:effectExtent l="0" t="9525" r="1270" b="381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 cy="281940"/>
                                <a:chOff x="0" y="0"/>
                                <a:chExt cx="583" cy="444"/>
                              </a:xfrm>
                            </wpg:grpSpPr>
                            <wps:wsp>
                              <wps:cNvPr id="27" name="Freeform 26"/>
                              <wps:cNvSpPr>
                                <a:spLocks/>
                              </wps:cNvSpPr>
                              <wps:spPr bwMode="auto">
                                <a:xfrm>
                                  <a:off x="0" y="0"/>
                                  <a:ext cx="583" cy="444"/>
                                </a:xfrm>
                                <a:custGeom>
                                  <a:avLst/>
                                  <a:gdLst>
                                    <a:gd name="T0" fmla="*/ 168 w 583"/>
                                    <a:gd name="T1" fmla="*/ 0 h 444"/>
                                    <a:gd name="T2" fmla="*/ 122 w 583"/>
                                    <a:gd name="T3" fmla="*/ 3 h 444"/>
                                    <a:gd name="T4" fmla="*/ 82 w 583"/>
                                    <a:gd name="T5" fmla="*/ 14 h 444"/>
                                    <a:gd name="T6" fmla="*/ 48 w 583"/>
                                    <a:gd name="T7" fmla="*/ 29 h 444"/>
                                    <a:gd name="T8" fmla="*/ 21 w 583"/>
                                    <a:gd name="T9" fmla="*/ 46 h 444"/>
                                    <a:gd name="T10" fmla="*/ 11 w 583"/>
                                    <a:gd name="T11" fmla="*/ 54 h 444"/>
                                    <a:gd name="T12" fmla="*/ 5 w 583"/>
                                    <a:gd name="T13" fmla="*/ 62 h 444"/>
                                    <a:gd name="T14" fmla="*/ 1 w 583"/>
                                    <a:gd name="T15" fmla="*/ 73 h 444"/>
                                    <a:gd name="T16" fmla="*/ 0 w 583"/>
                                    <a:gd name="T17" fmla="*/ 85 h 444"/>
                                    <a:gd name="T18" fmla="*/ 0 w 583"/>
                                    <a:gd name="T19" fmla="*/ 387 h 444"/>
                                    <a:gd name="T20" fmla="*/ 4 w 583"/>
                                    <a:gd name="T21" fmla="*/ 409 h 444"/>
                                    <a:gd name="T22" fmla="*/ 16 w 583"/>
                                    <a:gd name="T23" fmla="*/ 427 h 444"/>
                                    <a:gd name="T24" fmla="*/ 33 w 583"/>
                                    <a:gd name="T25" fmla="*/ 439 h 444"/>
                                    <a:gd name="T26" fmla="*/ 54 w 583"/>
                                    <a:gd name="T27" fmla="*/ 443 h 444"/>
                                    <a:gd name="T28" fmla="*/ 76 w 583"/>
                                    <a:gd name="T29" fmla="*/ 439 h 444"/>
                                    <a:gd name="T30" fmla="*/ 93 w 583"/>
                                    <a:gd name="T31" fmla="*/ 427 h 444"/>
                                    <a:gd name="T32" fmla="*/ 104 w 583"/>
                                    <a:gd name="T33" fmla="*/ 409 h 444"/>
                                    <a:gd name="T34" fmla="*/ 108 w 583"/>
                                    <a:gd name="T35" fmla="*/ 387 h 444"/>
                                    <a:gd name="T36" fmla="*/ 108 w 583"/>
                                    <a:gd name="T37" fmla="*/ 125 h 444"/>
                                    <a:gd name="T38" fmla="*/ 116 w 583"/>
                                    <a:gd name="T39" fmla="*/ 120 h 444"/>
                                    <a:gd name="T40" fmla="*/ 129 w 583"/>
                                    <a:gd name="T41" fmla="*/ 114 h 444"/>
                                    <a:gd name="T42" fmla="*/ 148 w 583"/>
                                    <a:gd name="T43" fmla="*/ 108 h 444"/>
                                    <a:gd name="T44" fmla="*/ 173 w 583"/>
                                    <a:gd name="T45" fmla="*/ 106 h 444"/>
                                    <a:gd name="T46" fmla="*/ 578 w 583"/>
                                    <a:gd name="T47" fmla="*/ 106 h 444"/>
                                    <a:gd name="T48" fmla="*/ 577 w 583"/>
                                    <a:gd name="T49" fmla="*/ 101 h 444"/>
                                    <a:gd name="T50" fmla="*/ 547 w 583"/>
                                    <a:gd name="T51" fmla="*/ 46 h 444"/>
                                    <a:gd name="T52" fmla="*/ 287 w 583"/>
                                    <a:gd name="T53" fmla="*/ 46 h 444"/>
                                    <a:gd name="T54" fmla="*/ 263 w 583"/>
                                    <a:gd name="T55" fmla="*/ 25 h 444"/>
                                    <a:gd name="T56" fmla="*/ 235 w 583"/>
                                    <a:gd name="T57" fmla="*/ 11 h 444"/>
                                    <a:gd name="T58" fmla="*/ 204 w 583"/>
                                    <a:gd name="T59" fmla="*/ 2 h 444"/>
                                    <a:gd name="T60" fmla="*/ 168 w 583"/>
                                    <a:gd name="T61" fmla="*/ 0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83" h="444">
                                      <a:moveTo>
                                        <a:pt x="168" y="0"/>
                                      </a:moveTo>
                                      <a:lnTo>
                                        <a:pt x="122" y="3"/>
                                      </a:lnTo>
                                      <a:lnTo>
                                        <a:pt x="82" y="14"/>
                                      </a:lnTo>
                                      <a:lnTo>
                                        <a:pt x="48" y="29"/>
                                      </a:lnTo>
                                      <a:lnTo>
                                        <a:pt x="21" y="46"/>
                                      </a:lnTo>
                                      <a:lnTo>
                                        <a:pt x="11" y="54"/>
                                      </a:lnTo>
                                      <a:lnTo>
                                        <a:pt x="5" y="62"/>
                                      </a:lnTo>
                                      <a:lnTo>
                                        <a:pt x="1" y="73"/>
                                      </a:lnTo>
                                      <a:lnTo>
                                        <a:pt x="0" y="85"/>
                                      </a:lnTo>
                                      <a:lnTo>
                                        <a:pt x="0" y="387"/>
                                      </a:lnTo>
                                      <a:lnTo>
                                        <a:pt x="4" y="409"/>
                                      </a:lnTo>
                                      <a:lnTo>
                                        <a:pt x="16" y="427"/>
                                      </a:lnTo>
                                      <a:lnTo>
                                        <a:pt x="33" y="439"/>
                                      </a:lnTo>
                                      <a:lnTo>
                                        <a:pt x="54" y="443"/>
                                      </a:lnTo>
                                      <a:lnTo>
                                        <a:pt x="76" y="439"/>
                                      </a:lnTo>
                                      <a:lnTo>
                                        <a:pt x="93" y="427"/>
                                      </a:lnTo>
                                      <a:lnTo>
                                        <a:pt x="104" y="409"/>
                                      </a:lnTo>
                                      <a:lnTo>
                                        <a:pt x="108" y="387"/>
                                      </a:lnTo>
                                      <a:lnTo>
                                        <a:pt x="108" y="125"/>
                                      </a:lnTo>
                                      <a:lnTo>
                                        <a:pt x="116" y="120"/>
                                      </a:lnTo>
                                      <a:lnTo>
                                        <a:pt x="129" y="114"/>
                                      </a:lnTo>
                                      <a:lnTo>
                                        <a:pt x="148" y="108"/>
                                      </a:lnTo>
                                      <a:lnTo>
                                        <a:pt x="173" y="106"/>
                                      </a:lnTo>
                                      <a:lnTo>
                                        <a:pt x="578" y="106"/>
                                      </a:lnTo>
                                      <a:lnTo>
                                        <a:pt x="577" y="101"/>
                                      </a:lnTo>
                                      <a:lnTo>
                                        <a:pt x="547" y="46"/>
                                      </a:lnTo>
                                      <a:lnTo>
                                        <a:pt x="287" y="46"/>
                                      </a:lnTo>
                                      <a:lnTo>
                                        <a:pt x="263" y="25"/>
                                      </a:lnTo>
                                      <a:lnTo>
                                        <a:pt x="235" y="11"/>
                                      </a:lnTo>
                                      <a:lnTo>
                                        <a:pt x="204" y="2"/>
                                      </a:lnTo>
                                      <a:lnTo>
                                        <a:pt x="168" y="0"/>
                                      </a:lnTo>
                                      <a:close/>
                                    </a:path>
                                  </a:pathLst>
                                </a:custGeom>
                                <a:solidFill>
                                  <a:srgbClr val="00A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7"/>
                              <wps:cNvSpPr>
                                <a:spLocks/>
                              </wps:cNvSpPr>
                              <wps:spPr bwMode="auto">
                                <a:xfrm>
                                  <a:off x="0" y="0"/>
                                  <a:ext cx="583" cy="444"/>
                                </a:xfrm>
                                <a:custGeom>
                                  <a:avLst/>
                                  <a:gdLst>
                                    <a:gd name="T0" fmla="*/ 412 w 583"/>
                                    <a:gd name="T1" fmla="*/ 106 h 444"/>
                                    <a:gd name="T2" fmla="*/ 173 w 583"/>
                                    <a:gd name="T3" fmla="*/ 106 h 444"/>
                                    <a:gd name="T4" fmla="*/ 201 w 583"/>
                                    <a:gd name="T5" fmla="*/ 110 h 444"/>
                                    <a:gd name="T6" fmla="*/ 221 w 583"/>
                                    <a:gd name="T7" fmla="*/ 123 h 444"/>
                                    <a:gd name="T8" fmla="*/ 234 w 583"/>
                                    <a:gd name="T9" fmla="*/ 146 h 444"/>
                                    <a:gd name="T10" fmla="*/ 239 w 583"/>
                                    <a:gd name="T11" fmla="*/ 179 h 444"/>
                                    <a:gd name="T12" fmla="*/ 239 w 583"/>
                                    <a:gd name="T13" fmla="*/ 387 h 444"/>
                                    <a:gd name="T14" fmla="*/ 243 w 583"/>
                                    <a:gd name="T15" fmla="*/ 409 h 444"/>
                                    <a:gd name="T16" fmla="*/ 255 w 583"/>
                                    <a:gd name="T17" fmla="*/ 427 h 444"/>
                                    <a:gd name="T18" fmla="*/ 272 w 583"/>
                                    <a:gd name="T19" fmla="*/ 439 h 444"/>
                                    <a:gd name="T20" fmla="*/ 293 w 583"/>
                                    <a:gd name="T21" fmla="*/ 443 h 444"/>
                                    <a:gd name="T22" fmla="*/ 315 w 583"/>
                                    <a:gd name="T23" fmla="*/ 439 h 444"/>
                                    <a:gd name="T24" fmla="*/ 332 w 583"/>
                                    <a:gd name="T25" fmla="*/ 427 h 444"/>
                                    <a:gd name="T26" fmla="*/ 343 w 583"/>
                                    <a:gd name="T27" fmla="*/ 409 h 444"/>
                                    <a:gd name="T28" fmla="*/ 348 w 583"/>
                                    <a:gd name="T29" fmla="*/ 387 h 444"/>
                                    <a:gd name="T30" fmla="*/ 348 w 583"/>
                                    <a:gd name="T31" fmla="*/ 125 h 444"/>
                                    <a:gd name="T32" fmla="*/ 355 w 583"/>
                                    <a:gd name="T33" fmla="*/ 120 h 444"/>
                                    <a:gd name="T34" fmla="*/ 368 w 583"/>
                                    <a:gd name="T35" fmla="*/ 114 h 444"/>
                                    <a:gd name="T36" fmla="*/ 387 w 583"/>
                                    <a:gd name="T37" fmla="*/ 108 h 444"/>
                                    <a:gd name="T38" fmla="*/ 412 w 583"/>
                                    <a:gd name="T39" fmla="*/ 106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3" h="444">
                                      <a:moveTo>
                                        <a:pt x="412" y="106"/>
                                      </a:moveTo>
                                      <a:lnTo>
                                        <a:pt x="173" y="106"/>
                                      </a:lnTo>
                                      <a:lnTo>
                                        <a:pt x="201" y="110"/>
                                      </a:lnTo>
                                      <a:lnTo>
                                        <a:pt x="221" y="123"/>
                                      </a:lnTo>
                                      <a:lnTo>
                                        <a:pt x="234" y="146"/>
                                      </a:lnTo>
                                      <a:lnTo>
                                        <a:pt x="239" y="179"/>
                                      </a:lnTo>
                                      <a:lnTo>
                                        <a:pt x="239" y="387"/>
                                      </a:lnTo>
                                      <a:lnTo>
                                        <a:pt x="243" y="409"/>
                                      </a:lnTo>
                                      <a:lnTo>
                                        <a:pt x="255" y="427"/>
                                      </a:lnTo>
                                      <a:lnTo>
                                        <a:pt x="272" y="439"/>
                                      </a:lnTo>
                                      <a:lnTo>
                                        <a:pt x="293" y="443"/>
                                      </a:lnTo>
                                      <a:lnTo>
                                        <a:pt x="315" y="439"/>
                                      </a:lnTo>
                                      <a:lnTo>
                                        <a:pt x="332" y="427"/>
                                      </a:lnTo>
                                      <a:lnTo>
                                        <a:pt x="343" y="409"/>
                                      </a:lnTo>
                                      <a:lnTo>
                                        <a:pt x="348" y="387"/>
                                      </a:lnTo>
                                      <a:lnTo>
                                        <a:pt x="348" y="125"/>
                                      </a:lnTo>
                                      <a:lnTo>
                                        <a:pt x="355" y="120"/>
                                      </a:lnTo>
                                      <a:lnTo>
                                        <a:pt x="368" y="114"/>
                                      </a:lnTo>
                                      <a:lnTo>
                                        <a:pt x="387" y="108"/>
                                      </a:lnTo>
                                      <a:lnTo>
                                        <a:pt x="412" y="106"/>
                                      </a:lnTo>
                                      <a:close/>
                                    </a:path>
                                  </a:pathLst>
                                </a:custGeom>
                                <a:solidFill>
                                  <a:srgbClr val="00A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8"/>
                              <wps:cNvSpPr>
                                <a:spLocks/>
                              </wps:cNvSpPr>
                              <wps:spPr bwMode="auto">
                                <a:xfrm>
                                  <a:off x="0" y="0"/>
                                  <a:ext cx="583" cy="444"/>
                                </a:xfrm>
                                <a:custGeom>
                                  <a:avLst/>
                                  <a:gdLst>
                                    <a:gd name="T0" fmla="*/ 578 w 583"/>
                                    <a:gd name="T1" fmla="*/ 106 h 444"/>
                                    <a:gd name="T2" fmla="*/ 412 w 583"/>
                                    <a:gd name="T3" fmla="*/ 106 h 444"/>
                                    <a:gd name="T4" fmla="*/ 440 w 583"/>
                                    <a:gd name="T5" fmla="*/ 110 h 444"/>
                                    <a:gd name="T6" fmla="*/ 461 w 583"/>
                                    <a:gd name="T7" fmla="*/ 124 h 444"/>
                                    <a:gd name="T8" fmla="*/ 474 w 583"/>
                                    <a:gd name="T9" fmla="*/ 146 h 444"/>
                                    <a:gd name="T10" fmla="*/ 478 w 583"/>
                                    <a:gd name="T11" fmla="*/ 179 h 444"/>
                                    <a:gd name="T12" fmla="*/ 478 w 583"/>
                                    <a:gd name="T13" fmla="*/ 387 h 444"/>
                                    <a:gd name="T14" fmla="*/ 482 w 583"/>
                                    <a:gd name="T15" fmla="*/ 409 h 444"/>
                                    <a:gd name="T16" fmla="*/ 494 w 583"/>
                                    <a:gd name="T17" fmla="*/ 427 h 444"/>
                                    <a:gd name="T18" fmla="*/ 511 w 583"/>
                                    <a:gd name="T19" fmla="*/ 439 h 444"/>
                                    <a:gd name="T20" fmla="*/ 532 w 583"/>
                                    <a:gd name="T21" fmla="*/ 443 h 444"/>
                                    <a:gd name="T22" fmla="*/ 554 w 583"/>
                                    <a:gd name="T23" fmla="*/ 439 h 444"/>
                                    <a:gd name="T24" fmla="*/ 571 w 583"/>
                                    <a:gd name="T25" fmla="*/ 427 h 444"/>
                                    <a:gd name="T26" fmla="*/ 582 w 583"/>
                                    <a:gd name="T27" fmla="*/ 410 h 444"/>
                                    <a:gd name="T28" fmla="*/ 582 w 583"/>
                                    <a:gd name="T29" fmla="*/ 141 h 444"/>
                                    <a:gd name="T30" fmla="*/ 578 w 583"/>
                                    <a:gd name="T31" fmla="*/ 106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83" h="444">
                                      <a:moveTo>
                                        <a:pt x="578" y="106"/>
                                      </a:moveTo>
                                      <a:lnTo>
                                        <a:pt x="412" y="106"/>
                                      </a:lnTo>
                                      <a:lnTo>
                                        <a:pt x="440" y="110"/>
                                      </a:lnTo>
                                      <a:lnTo>
                                        <a:pt x="461" y="124"/>
                                      </a:lnTo>
                                      <a:lnTo>
                                        <a:pt x="474" y="146"/>
                                      </a:lnTo>
                                      <a:lnTo>
                                        <a:pt x="478" y="179"/>
                                      </a:lnTo>
                                      <a:lnTo>
                                        <a:pt x="478" y="387"/>
                                      </a:lnTo>
                                      <a:lnTo>
                                        <a:pt x="482" y="409"/>
                                      </a:lnTo>
                                      <a:lnTo>
                                        <a:pt x="494" y="427"/>
                                      </a:lnTo>
                                      <a:lnTo>
                                        <a:pt x="511" y="439"/>
                                      </a:lnTo>
                                      <a:lnTo>
                                        <a:pt x="532" y="443"/>
                                      </a:lnTo>
                                      <a:lnTo>
                                        <a:pt x="554" y="439"/>
                                      </a:lnTo>
                                      <a:lnTo>
                                        <a:pt x="571" y="427"/>
                                      </a:lnTo>
                                      <a:lnTo>
                                        <a:pt x="582" y="410"/>
                                      </a:lnTo>
                                      <a:lnTo>
                                        <a:pt x="582" y="141"/>
                                      </a:lnTo>
                                      <a:lnTo>
                                        <a:pt x="578" y="106"/>
                                      </a:lnTo>
                                      <a:close/>
                                    </a:path>
                                  </a:pathLst>
                                </a:custGeom>
                                <a:solidFill>
                                  <a:srgbClr val="00A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9"/>
                              <wps:cNvSpPr>
                                <a:spLocks/>
                              </wps:cNvSpPr>
                              <wps:spPr bwMode="auto">
                                <a:xfrm>
                                  <a:off x="0" y="0"/>
                                  <a:ext cx="583" cy="444"/>
                                </a:xfrm>
                                <a:custGeom>
                                  <a:avLst/>
                                  <a:gdLst>
                                    <a:gd name="T0" fmla="*/ 418 w 583"/>
                                    <a:gd name="T1" fmla="*/ 0 h 444"/>
                                    <a:gd name="T2" fmla="*/ 381 w 583"/>
                                    <a:gd name="T3" fmla="*/ 3 h 444"/>
                                    <a:gd name="T4" fmla="*/ 346 w 583"/>
                                    <a:gd name="T5" fmla="*/ 12 h 444"/>
                                    <a:gd name="T6" fmla="*/ 315 w 583"/>
                                    <a:gd name="T7" fmla="*/ 27 h 444"/>
                                    <a:gd name="T8" fmla="*/ 287 w 583"/>
                                    <a:gd name="T9" fmla="*/ 46 h 444"/>
                                    <a:gd name="T10" fmla="*/ 547 w 583"/>
                                    <a:gd name="T11" fmla="*/ 46 h 444"/>
                                    <a:gd name="T12" fmla="*/ 547 w 583"/>
                                    <a:gd name="T13" fmla="*/ 46 h 444"/>
                                    <a:gd name="T14" fmla="*/ 495 w 583"/>
                                    <a:gd name="T15" fmla="*/ 11 h 444"/>
                                    <a:gd name="T16" fmla="*/ 418 w 583"/>
                                    <a:gd name="T17" fmla="*/ 0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3" h="444">
                                      <a:moveTo>
                                        <a:pt x="418" y="0"/>
                                      </a:moveTo>
                                      <a:lnTo>
                                        <a:pt x="381" y="3"/>
                                      </a:lnTo>
                                      <a:lnTo>
                                        <a:pt x="346" y="12"/>
                                      </a:lnTo>
                                      <a:lnTo>
                                        <a:pt x="315" y="27"/>
                                      </a:lnTo>
                                      <a:lnTo>
                                        <a:pt x="287" y="46"/>
                                      </a:lnTo>
                                      <a:lnTo>
                                        <a:pt x="547" y="46"/>
                                      </a:lnTo>
                                      <a:lnTo>
                                        <a:pt x="547" y="46"/>
                                      </a:lnTo>
                                      <a:lnTo>
                                        <a:pt x="495" y="11"/>
                                      </a:lnTo>
                                      <a:lnTo>
                                        <a:pt x="418" y="0"/>
                                      </a:lnTo>
                                      <a:close/>
                                    </a:path>
                                  </a:pathLst>
                                </a:custGeom>
                                <a:solidFill>
                                  <a:srgbClr val="00A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1E7116" id="Group 26" o:spid="_x0000_s1026" style="width:29.15pt;height:22.2pt;mso-position-horizontal-relative:char;mso-position-vertical-relative:line" coordsize="58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">
                      <v:shape id="Freeform 26" o:spid="_x0000_s1027" style="position:absolute;width:583;height:444;visibility:visible;mso-wrap-style:square;v-text-anchor:top" coordsize="5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" path="m168,l122,3,82,14,48,29,21,46,11,54,5,62,1,73,,85,,387r4,22l16,427r17,12l54,443r22,-4l93,427r11,-18l108,387r,-262l116,120r13,-6l148,108r25,-2l578,106r-1,-5l547,46r-260,l263,25,235,11,204,2,168,xe" fillcolor="#00a1e4" stroked="f">
                        <v:path arrowok="t" o:connecttype="custom" o:connectlocs="168,0;122,3;82,14;48,29;21,46;11,54;5,62;1,73;0,85;0,387;4,409;16,427;33,439;54,443;76,439;93,427;104,409;108,387;108,125;116,120;129,114;148,108;173,106;578,106;577,101;547,46;287,46;263,25;235,11;204,2;168,0" o:connectangles="0,0,0,0,0,0,0,0,0,0,0,0,0,0,0,0,0,0,0,0,0,0,0,0,0,0,0,0,0,0,0"/>
                      </v:shape>
                      <v:shape id="Freeform 27" o:spid="_x0000_s1028" style="position:absolute;width:583;height:444;visibility:visible;mso-wrap-style:square;v-text-anchor:top" coordsize="5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" path="m412,106r-239,l201,110r20,13l234,146r5,33l239,387r4,22l255,427r17,12l293,443r22,-4l332,427r11,-18l348,387r,-262l355,120r13,-6l387,108r25,-2xe" fillcolor="#00a1e4" stroked="f">
                        <v:path arrowok="t" o:connecttype="custom" o:connectlocs="412,106;173,106;201,110;221,123;234,146;239,179;239,387;243,409;255,427;272,439;293,443;315,439;332,427;343,409;348,387;348,125;355,120;368,114;387,108;412,106" o:connectangles="0,0,0,0,0,0,0,0,0,0,0,0,0,0,0,0,0,0,0,0"/>
                      </v:shape>
                      <v:shape id="Freeform 28" o:spid="_x0000_s1029" style="position:absolute;width:583;height:444;visibility:visible;mso-wrap-style:square;v-text-anchor:top" coordsize="5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" path="m578,106r-166,l440,110r21,14l474,146r4,33l478,387r4,22l494,427r17,12l532,443r22,-4l571,427r11,-17l582,141r-4,-35xe" fillcolor="#00a1e4" stroked="f">
                        <v:path arrowok="t" o:connecttype="custom" o:connectlocs="578,106;412,106;440,110;461,124;474,146;478,179;478,387;482,409;494,427;511,439;532,443;554,439;571,427;582,410;582,141;578,106" o:connectangles="0,0,0,0,0,0,0,0,0,0,0,0,0,0,0,0"/>
                      </v:shape>
                      <v:shape id="Freeform 29" o:spid="_x0000_s1030" style="position:absolute;width:583;height:444;visibility:visible;mso-wrap-style:square;v-text-anchor:top" coordsize="5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" path="m418,l381,3r-35,9l315,27,287,46r260,l547,46,495,11,418,xe" fillcolor="#00a1e4" stroked="f">
                        <v:path arrowok="t" o:connecttype="custom" o:connectlocs="418,0;381,3;346,12;315,27;287,46;547,46;547,46;495,11;418,0" o:connectangles="0,0,0,0,0,0,0,0,0"/>
                      </v:shape>
                      <w10:anchorlock/>
                    </v:group>
                  </w:pict>
                </mc:Fallback>
              </mc:AlternateContent>
            </w:r>
            <w:r w:rsidRPr="00977168">
              <w:rPr>
                <w:rFonts w:ascii="Times New Roman" w:hAnsi="Times New Roman" w:cs="Times New Roman"/>
                <w:noProof/>
                <w:sz w:val="16"/>
                <w:szCs w:val="16"/>
              </w:rPr>
              <mc:AlternateContent>
                <mc:Choice Requires="wpg">
                  <w:drawing>
                    <wp:inline distT="0" distB="0" distL="0" distR="0" wp14:anchorId="1CCC85D1" wp14:editId="6D365E31">
                      <wp:extent cx="863600" cy="65405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654050"/>
                                <a:chOff x="0" y="0"/>
                                <a:chExt cx="1751" cy="2056"/>
                              </a:xfrm>
                            </wpg:grpSpPr>
                            <wps:wsp>
                              <wps:cNvPr id="3" name="Freeform 31"/>
                              <wps:cNvSpPr>
                                <a:spLocks/>
                              </wps:cNvSpPr>
                              <wps:spPr bwMode="auto">
                                <a:xfrm>
                                  <a:off x="0" y="1032"/>
                                  <a:ext cx="652" cy="980"/>
                                </a:xfrm>
                                <a:custGeom>
                                  <a:avLst/>
                                  <a:gdLst>
                                    <a:gd name="T0" fmla="*/ 512 w 652"/>
                                    <a:gd name="T1" fmla="*/ 0 h 980"/>
                                    <a:gd name="T2" fmla="*/ 440 w 652"/>
                                    <a:gd name="T3" fmla="*/ 5 h 980"/>
                                    <a:gd name="T4" fmla="*/ 371 w 652"/>
                                    <a:gd name="T5" fmla="*/ 19 h 980"/>
                                    <a:gd name="T6" fmla="*/ 305 w 652"/>
                                    <a:gd name="T7" fmla="*/ 43 h 980"/>
                                    <a:gd name="T8" fmla="*/ 243 w 652"/>
                                    <a:gd name="T9" fmla="*/ 76 h 980"/>
                                    <a:gd name="T10" fmla="*/ 186 w 652"/>
                                    <a:gd name="T11" fmla="*/ 117 h 980"/>
                                    <a:gd name="T12" fmla="*/ 134 w 652"/>
                                    <a:gd name="T13" fmla="*/ 165 h 980"/>
                                    <a:gd name="T14" fmla="*/ 90 w 652"/>
                                    <a:gd name="T15" fmla="*/ 221 h 980"/>
                                    <a:gd name="T16" fmla="*/ 53 w 652"/>
                                    <a:gd name="T17" fmla="*/ 284 h 980"/>
                                    <a:gd name="T18" fmla="*/ 25 w 652"/>
                                    <a:gd name="T19" fmla="*/ 353 h 980"/>
                                    <a:gd name="T20" fmla="*/ 6 w 652"/>
                                    <a:gd name="T21" fmla="*/ 427 h 980"/>
                                    <a:gd name="T22" fmla="*/ 0 w 652"/>
                                    <a:gd name="T23" fmla="*/ 501 h 980"/>
                                    <a:gd name="T24" fmla="*/ 3 w 652"/>
                                    <a:gd name="T25" fmla="*/ 574 h 980"/>
                                    <a:gd name="T26" fmla="*/ 17 w 652"/>
                                    <a:gd name="T27" fmla="*/ 645 h 980"/>
                                    <a:gd name="T28" fmla="*/ 41 w 652"/>
                                    <a:gd name="T29" fmla="*/ 713 h 980"/>
                                    <a:gd name="T30" fmla="*/ 74 w 652"/>
                                    <a:gd name="T31" fmla="*/ 777 h 980"/>
                                    <a:gd name="T32" fmla="*/ 116 w 652"/>
                                    <a:gd name="T33" fmla="*/ 836 h 980"/>
                                    <a:gd name="T34" fmla="*/ 166 w 652"/>
                                    <a:gd name="T35" fmla="*/ 888 h 980"/>
                                    <a:gd name="T36" fmla="*/ 223 w 652"/>
                                    <a:gd name="T37" fmla="*/ 934 h 980"/>
                                    <a:gd name="T38" fmla="*/ 288 w 652"/>
                                    <a:gd name="T39" fmla="*/ 971 h 980"/>
                                    <a:gd name="T40" fmla="*/ 299 w 652"/>
                                    <a:gd name="T41" fmla="*/ 977 h 980"/>
                                    <a:gd name="T42" fmla="*/ 310 w 652"/>
                                    <a:gd name="T43" fmla="*/ 979 h 980"/>
                                    <a:gd name="T44" fmla="*/ 319 w 652"/>
                                    <a:gd name="T45" fmla="*/ 979 h 980"/>
                                    <a:gd name="T46" fmla="*/ 339 w 652"/>
                                    <a:gd name="T47" fmla="*/ 975 h 980"/>
                                    <a:gd name="T48" fmla="*/ 355 w 652"/>
                                    <a:gd name="T49" fmla="*/ 965 h 980"/>
                                    <a:gd name="T50" fmla="*/ 368 w 652"/>
                                    <a:gd name="T51" fmla="*/ 949 h 980"/>
                                    <a:gd name="T52" fmla="*/ 376 w 652"/>
                                    <a:gd name="T53" fmla="*/ 931 h 980"/>
                                    <a:gd name="T54" fmla="*/ 426 w 652"/>
                                    <a:gd name="T55" fmla="*/ 777 h 980"/>
                                    <a:gd name="T56" fmla="*/ 412 w 652"/>
                                    <a:gd name="T57" fmla="*/ 752 h 980"/>
                                    <a:gd name="T58" fmla="*/ 399 w 652"/>
                                    <a:gd name="T59" fmla="*/ 725 h 980"/>
                                    <a:gd name="T60" fmla="*/ 387 w 652"/>
                                    <a:gd name="T61" fmla="*/ 698 h 980"/>
                                    <a:gd name="T62" fmla="*/ 377 w 652"/>
                                    <a:gd name="T63" fmla="*/ 670 h 980"/>
                                    <a:gd name="T64" fmla="*/ 359 w 652"/>
                                    <a:gd name="T65" fmla="*/ 596 h 980"/>
                                    <a:gd name="T66" fmla="*/ 352 w 652"/>
                                    <a:gd name="T67" fmla="*/ 521 h 980"/>
                                    <a:gd name="T68" fmla="*/ 356 w 652"/>
                                    <a:gd name="T69" fmla="*/ 448 h 980"/>
                                    <a:gd name="T70" fmla="*/ 370 w 652"/>
                                    <a:gd name="T71" fmla="*/ 377 h 980"/>
                                    <a:gd name="T72" fmla="*/ 394 w 652"/>
                                    <a:gd name="T73" fmla="*/ 309 h 980"/>
                                    <a:gd name="T74" fmla="*/ 427 w 652"/>
                                    <a:gd name="T75" fmla="*/ 246 h 980"/>
                                    <a:gd name="T76" fmla="*/ 468 w 652"/>
                                    <a:gd name="T77" fmla="*/ 187 h 980"/>
                                    <a:gd name="T78" fmla="*/ 518 w 652"/>
                                    <a:gd name="T79" fmla="*/ 134 h 980"/>
                                    <a:gd name="T80" fmla="*/ 576 w 652"/>
                                    <a:gd name="T81" fmla="*/ 89 h 980"/>
                                    <a:gd name="T82" fmla="*/ 640 w 652"/>
                                    <a:gd name="T83" fmla="*/ 51 h 980"/>
                                    <a:gd name="T84" fmla="*/ 644 w 652"/>
                                    <a:gd name="T85" fmla="*/ 50 h 980"/>
                                    <a:gd name="T86" fmla="*/ 647 w 652"/>
                                    <a:gd name="T87" fmla="*/ 48 h 980"/>
                                    <a:gd name="T88" fmla="*/ 651 w 652"/>
                                    <a:gd name="T89" fmla="*/ 47 h 980"/>
                                    <a:gd name="T90" fmla="*/ 645 w 652"/>
                                    <a:gd name="T91" fmla="*/ 34 h 980"/>
                                    <a:gd name="T92" fmla="*/ 635 w 652"/>
                                    <a:gd name="T93" fmla="*/ 23 h 980"/>
                                    <a:gd name="T94" fmla="*/ 620 w 652"/>
                                    <a:gd name="T95" fmla="*/ 13 h 980"/>
                                    <a:gd name="T96" fmla="*/ 601 w 652"/>
                                    <a:gd name="T97" fmla="*/ 7 h 980"/>
                                    <a:gd name="T98" fmla="*/ 579 w 652"/>
                                    <a:gd name="T99" fmla="*/ 4 h 980"/>
                                    <a:gd name="T100" fmla="*/ 556 w 652"/>
                                    <a:gd name="T101" fmla="*/ 1 h 980"/>
                                    <a:gd name="T102" fmla="*/ 534 w 652"/>
                                    <a:gd name="T103" fmla="*/ 0 h 980"/>
                                    <a:gd name="T104" fmla="*/ 512 w 652"/>
                                    <a:gd name="T105" fmla="*/ 0 h 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52" h="980">
                                      <a:moveTo>
                                        <a:pt x="512" y="0"/>
                                      </a:moveTo>
                                      <a:lnTo>
                                        <a:pt x="440" y="5"/>
                                      </a:lnTo>
                                      <a:lnTo>
                                        <a:pt x="371" y="19"/>
                                      </a:lnTo>
                                      <a:lnTo>
                                        <a:pt x="305" y="43"/>
                                      </a:lnTo>
                                      <a:lnTo>
                                        <a:pt x="243" y="76"/>
                                      </a:lnTo>
                                      <a:lnTo>
                                        <a:pt x="186" y="117"/>
                                      </a:lnTo>
                                      <a:lnTo>
                                        <a:pt x="134" y="165"/>
                                      </a:lnTo>
                                      <a:lnTo>
                                        <a:pt x="90" y="221"/>
                                      </a:lnTo>
                                      <a:lnTo>
                                        <a:pt x="53" y="284"/>
                                      </a:lnTo>
                                      <a:lnTo>
                                        <a:pt x="25" y="353"/>
                                      </a:lnTo>
                                      <a:lnTo>
                                        <a:pt x="6" y="427"/>
                                      </a:lnTo>
                                      <a:lnTo>
                                        <a:pt x="0" y="501"/>
                                      </a:lnTo>
                                      <a:lnTo>
                                        <a:pt x="3" y="574"/>
                                      </a:lnTo>
                                      <a:lnTo>
                                        <a:pt x="17" y="645"/>
                                      </a:lnTo>
                                      <a:lnTo>
                                        <a:pt x="41" y="713"/>
                                      </a:lnTo>
                                      <a:lnTo>
                                        <a:pt x="74" y="777"/>
                                      </a:lnTo>
                                      <a:lnTo>
                                        <a:pt x="116" y="836"/>
                                      </a:lnTo>
                                      <a:lnTo>
                                        <a:pt x="166" y="888"/>
                                      </a:lnTo>
                                      <a:lnTo>
                                        <a:pt x="223" y="934"/>
                                      </a:lnTo>
                                      <a:lnTo>
                                        <a:pt x="288" y="971"/>
                                      </a:lnTo>
                                      <a:lnTo>
                                        <a:pt x="299" y="977"/>
                                      </a:lnTo>
                                      <a:lnTo>
                                        <a:pt x="310" y="979"/>
                                      </a:lnTo>
                                      <a:lnTo>
                                        <a:pt x="319" y="979"/>
                                      </a:lnTo>
                                      <a:lnTo>
                                        <a:pt x="339" y="975"/>
                                      </a:lnTo>
                                      <a:lnTo>
                                        <a:pt x="355" y="965"/>
                                      </a:lnTo>
                                      <a:lnTo>
                                        <a:pt x="368" y="949"/>
                                      </a:lnTo>
                                      <a:lnTo>
                                        <a:pt x="376" y="931"/>
                                      </a:lnTo>
                                      <a:lnTo>
                                        <a:pt x="426" y="777"/>
                                      </a:lnTo>
                                      <a:lnTo>
                                        <a:pt x="412" y="752"/>
                                      </a:lnTo>
                                      <a:lnTo>
                                        <a:pt x="399" y="725"/>
                                      </a:lnTo>
                                      <a:lnTo>
                                        <a:pt x="387" y="698"/>
                                      </a:lnTo>
                                      <a:lnTo>
                                        <a:pt x="377" y="670"/>
                                      </a:lnTo>
                                      <a:lnTo>
                                        <a:pt x="359" y="596"/>
                                      </a:lnTo>
                                      <a:lnTo>
                                        <a:pt x="352" y="521"/>
                                      </a:lnTo>
                                      <a:lnTo>
                                        <a:pt x="356" y="448"/>
                                      </a:lnTo>
                                      <a:lnTo>
                                        <a:pt x="370" y="377"/>
                                      </a:lnTo>
                                      <a:lnTo>
                                        <a:pt x="394" y="309"/>
                                      </a:lnTo>
                                      <a:lnTo>
                                        <a:pt x="427" y="246"/>
                                      </a:lnTo>
                                      <a:lnTo>
                                        <a:pt x="468" y="187"/>
                                      </a:lnTo>
                                      <a:lnTo>
                                        <a:pt x="518" y="134"/>
                                      </a:lnTo>
                                      <a:lnTo>
                                        <a:pt x="576" y="89"/>
                                      </a:lnTo>
                                      <a:lnTo>
                                        <a:pt x="640" y="51"/>
                                      </a:lnTo>
                                      <a:lnTo>
                                        <a:pt x="644" y="50"/>
                                      </a:lnTo>
                                      <a:lnTo>
                                        <a:pt x="647" y="48"/>
                                      </a:lnTo>
                                      <a:lnTo>
                                        <a:pt x="651" y="47"/>
                                      </a:lnTo>
                                      <a:lnTo>
                                        <a:pt x="645" y="34"/>
                                      </a:lnTo>
                                      <a:lnTo>
                                        <a:pt x="635" y="23"/>
                                      </a:lnTo>
                                      <a:lnTo>
                                        <a:pt x="620" y="13"/>
                                      </a:lnTo>
                                      <a:lnTo>
                                        <a:pt x="601" y="7"/>
                                      </a:lnTo>
                                      <a:lnTo>
                                        <a:pt x="579" y="4"/>
                                      </a:lnTo>
                                      <a:lnTo>
                                        <a:pt x="556" y="1"/>
                                      </a:lnTo>
                                      <a:lnTo>
                                        <a:pt x="534" y="0"/>
                                      </a:lnTo>
                                      <a:lnTo>
                                        <a:pt x="51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032"/>
                                  <a:ext cx="660"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33"/>
                              <wps:cNvSpPr>
                                <a:spLocks/>
                              </wps:cNvSpPr>
                              <wps:spPr bwMode="auto">
                                <a:xfrm>
                                  <a:off x="426" y="1076"/>
                                  <a:ext cx="580" cy="980"/>
                                </a:xfrm>
                                <a:custGeom>
                                  <a:avLst/>
                                  <a:gdLst>
                                    <a:gd name="T0" fmla="*/ 258 w 580"/>
                                    <a:gd name="T1" fmla="*/ 0 h 980"/>
                                    <a:gd name="T2" fmla="*/ 239 w 580"/>
                                    <a:gd name="T3" fmla="*/ 0 h 980"/>
                                    <a:gd name="T4" fmla="*/ 232 w 580"/>
                                    <a:gd name="T5" fmla="*/ 1 h 980"/>
                                    <a:gd name="T6" fmla="*/ 224 w 580"/>
                                    <a:gd name="T7" fmla="*/ 3 h 980"/>
                                    <a:gd name="T8" fmla="*/ 226 w 580"/>
                                    <a:gd name="T9" fmla="*/ 14 h 980"/>
                                    <a:gd name="T10" fmla="*/ 227 w 580"/>
                                    <a:gd name="T11" fmla="*/ 25 h 980"/>
                                    <a:gd name="T12" fmla="*/ 225 w 580"/>
                                    <a:gd name="T13" fmla="*/ 37 h 980"/>
                                    <a:gd name="T14" fmla="*/ 222 w 580"/>
                                    <a:gd name="T15" fmla="*/ 48 h 980"/>
                                    <a:gd name="T16" fmla="*/ 0 w 580"/>
                                    <a:gd name="T17" fmla="*/ 733 h 980"/>
                                    <a:gd name="T18" fmla="*/ 44 w 580"/>
                                    <a:gd name="T19" fmla="*/ 795 h 980"/>
                                    <a:gd name="T20" fmla="*/ 96 w 580"/>
                                    <a:gd name="T21" fmla="*/ 849 h 980"/>
                                    <a:gd name="T22" fmla="*/ 155 w 580"/>
                                    <a:gd name="T23" fmla="*/ 894 h 980"/>
                                    <a:gd name="T24" fmla="*/ 220 w 580"/>
                                    <a:gd name="T25" fmla="*/ 931 h 980"/>
                                    <a:gd name="T26" fmla="*/ 289 w 580"/>
                                    <a:gd name="T27" fmla="*/ 957 h 980"/>
                                    <a:gd name="T28" fmla="*/ 362 w 580"/>
                                    <a:gd name="T29" fmla="*/ 974 h 980"/>
                                    <a:gd name="T30" fmla="*/ 438 w 580"/>
                                    <a:gd name="T31" fmla="*/ 979 h 980"/>
                                    <a:gd name="T32" fmla="*/ 460 w 580"/>
                                    <a:gd name="T33" fmla="*/ 979 h 980"/>
                                    <a:gd name="T34" fmla="*/ 482 w 580"/>
                                    <a:gd name="T35" fmla="*/ 977 h 980"/>
                                    <a:gd name="T36" fmla="*/ 504 w 580"/>
                                    <a:gd name="T37" fmla="*/ 975 h 980"/>
                                    <a:gd name="T38" fmla="*/ 527 w 580"/>
                                    <a:gd name="T39" fmla="*/ 971 h 980"/>
                                    <a:gd name="T40" fmla="*/ 557 w 580"/>
                                    <a:gd name="T41" fmla="*/ 959 h 980"/>
                                    <a:gd name="T42" fmla="*/ 574 w 580"/>
                                    <a:gd name="T43" fmla="*/ 938 h 980"/>
                                    <a:gd name="T44" fmla="*/ 579 w 580"/>
                                    <a:gd name="T45" fmla="*/ 913 h 980"/>
                                    <a:gd name="T46" fmla="*/ 574 w 580"/>
                                    <a:gd name="T47" fmla="*/ 887 h 980"/>
                                    <a:gd name="T48" fmla="*/ 524 w 580"/>
                                    <a:gd name="T49" fmla="*/ 733 h 980"/>
                                    <a:gd name="T50" fmla="*/ 498 w 580"/>
                                    <a:gd name="T51" fmla="*/ 721 h 980"/>
                                    <a:gd name="T52" fmla="*/ 472 w 580"/>
                                    <a:gd name="T53" fmla="*/ 707 h 980"/>
                                    <a:gd name="T54" fmla="*/ 446 w 580"/>
                                    <a:gd name="T55" fmla="*/ 692 h 980"/>
                                    <a:gd name="T56" fmla="*/ 422 w 580"/>
                                    <a:gd name="T57" fmla="*/ 675 h 980"/>
                                    <a:gd name="T58" fmla="*/ 363 w 580"/>
                                    <a:gd name="T59" fmla="*/ 626 h 980"/>
                                    <a:gd name="T60" fmla="*/ 314 w 580"/>
                                    <a:gd name="T61" fmla="*/ 570 h 980"/>
                                    <a:gd name="T62" fmla="*/ 274 w 580"/>
                                    <a:gd name="T63" fmla="*/ 508 h 980"/>
                                    <a:gd name="T64" fmla="*/ 244 w 580"/>
                                    <a:gd name="T65" fmla="*/ 442 h 980"/>
                                    <a:gd name="T66" fmla="*/ 224 w 580"/>
                                    <a:gd name="T67" fmla="*/ 373 h 980"/>
                                    <a:gd name="T68" fmla="*/ 213 w 580"/>
                                    <a:gd name="T69" fmla="*/ 302 h 980"/>
                                    <a:gd name="T70" fmla="*/ 212 w 580"/>
                                    <a:gd name="T71" fmla="*/ 230 h 980"/>
                                    <a:gd name="T72" fmla="*/ 221 w 580"/>
                                    <a:gd name="T73" fmla="*/ 159 h 980"/>
                                    <a:gd name="T74" fmla="*/ 241 w 580"/>
                                    <a:gd name="T75" fmla="*/ 88 h 980"/>
                                    <a:gd name="T76" fmla="*/ 271 w 580"/>
                                    <a:gd name="T77" fmla="*/ 20 h 980"/>
                                    <a:gd name="T78" fmla="*/ 273 w 580"/>
                                    <a:gd name="T79" fmla="*/ 16 h 980"/>
                                    <a:gd name="T80" fmla="*/ 275 w 580"/>
                                    <a:gd name="T81" fmla="*/ 13 h 980"/>
                                    <a:gd name="T82" fmla="*/ 277 w 580"/>
                                    <a:gd name="T83" fmla="*/ 10 h 980"/>
                                    <a:gd name="T84" fmla="*/ 268 w 580"/>
                                    <a:gd name="T85" fmla="*/ 4 h 980"/>
                                    <a:gd name="T86" fmla="*/ 258 w 580"/>
                                    <a:gd name="T87" fmla="*/ 0 h 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0" h="980">
                                      <a:moveTo>
                                        <a:pt x="258" y="0"/>
                                      </a:moveTo>
                                      <a:lnTo>
                                        <a:pt x="239" y="0"/>
                                      </a:lnTo>
                                      <a:lnTo>
                                        <a:pt x="232" y="1"/>
                                      </a:lnTo>
                                      <a:lnTo>
                                        <a:pt x="224" y="3"/>
                                      </a:lnTo>
                                      <a:lnTo>
                                        <a:pt x="226" y="14"/>
                                      </a:lnTo>
                                      <a:lnTo>
                                        <a:pt x="227" y="25"/>
                                      </a:lnTo>
                                      <a:lnTo>
                                        <a:pt x="225" y="37"/>
                                      </a:lnTo>
                                      <a:lnTo>
                                        <a:pt x="222" y="48"/>
                                      </a:lnTo>
                                      <a:lnTo>
                                        <a:pt x="0" y="733"/>
                                      </a:lnTo>
                                      <a:lnTo>
                                        <a:pt x="44" y="795"/>
                                      </a:lnTo>
                                      <a:lnTo>
                                        <a:pt x="96" y="849"/>
                                      </a:lnTo>
                                      <a:lnTo>
                                        <a:pt x="155" y="894"/>
                                      </a:lnTo>
                                      <a:lnTo>
                                        <a:pt x="220" y="931"/>
                                      </a:lnTo>
                                      <a:lnTo>
                                        <a:pt x="289" y="957"/>
                                      </a:lnTo>
                                      <a:lnTo>
                                        <a:pt x="362" y="974"/>
                                      </a:lnTo>
                                      <a:lnTo>
                                        <a:pt x="438" y="979"/>
                                      </a:lnTo>
                                      <a:lnTo>
                                        <a:pt x="460" y="979"/>
                                      </a:lnTo>
                                      <a:lnTo>
                                        <a:pt x="482" y="977"/>
                                      </a:lnTo>
                                      <a:lnTo>
                                        <a:pt x="504" y="975"/>
                                      </a:lnTo>
                                      <a:lnTo>
                                        <a:pt x="527" y="971"/>
                                      </a:lnTo>
                                      <a:lnTo>
                                        <a:pt x="557" y="959"/>
                                      </a:lnTo>
                                      <a:lnTo>
                                        <a:pt x="574" y="938"/>
                                      </a:lnTo>
                                      <a:lnTo>
                                        <a:pt x="579" y="913"/>
                                      </a:lnTo>
                                      <a:lnTo>
                                        <a:pt x="574" y="887"/>
                                      </a:lnTo>
                                      <a:lnTo>
                                        <a:pt x="524" y="733"/>
                                      </a:lnTo>
                                      <a:lnTo>
                                        <a:pt x="498" y="721"/>
                                      </a:lnTo>
                                      <a:lnTo>
                                        <a:pt x="472" y="707"/>
                                      </a:lnTo>
                                      <a:lnTo>
                                        <a:pt x="446" y="692"/>
                                      </a:lnTo>
                                      <a:lnTo>
                                        <a:pt x="422" y="675"/>
                                      </a:lnTo>
                                      <a:lnTo>
                                        <a:pt x="363" y="626"/>
                                      </a:lnTo>
                                      <a:lnTo>
                                        <a:pt x="314" y="570"/>
                                      </a:lnTo>
                                      <a:lnTo>
                                        <a:pt x="274" y="508"/>
                                      </a:lnTo>
                                      <a:lnTo>
                                        <a:pt x="244" y="442"/>
                                      </a:lnTo>
                                      <a:lnTo>
                                        <a:pt x="224" y="373"/>
                                      </a:lnTo>
                                      <a:lnTo>
                                        <a:pt x="213" y="302"/>
                                      </a:lnTo>
                                      <a:lnTo>
                                        <a:pt x="212" y="230"/>
                                      </a:lnTo>
                                      <a:lnTo>
                                        <a:pt x="221" y="159"/>
                                      </a:lnTo>
                                      <a:lnTo>
                                        <a:pt x="241" y="88"/>
                                      </a:lnTo>
                                      <a:lnTo>
                                        <a:pt x="271" y="20"/>
                                      </a:lnTo>
                                      <a:lnTo>
                                        <a:pt x="273" y="16"/>
                                      </a:lnTo>
                                      <a:lnTo>
                                        <a:pt x="275" y="13"/>
                                      </a:lnTo>
                                      <a:lnTo>
                                        <a:pt x="277" y="10"/>
                                      </a:lnTo>
                                      <a:lnTo>
                                        <a:pt x="268" y="4"/>
                                      </a:lnTo>
                                      <a:lnTo>
                                        <a:pt x="258" y="0"/>
                                      </a:lnTo>
                                      <a:close/>
                                    </a:path>
                                  </a:pathLst>
                                </a:custGeom>
                                <a:solidFill>
                                  <a:srgbClr val="00B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27" y="1076"/>
                                  <a:ext cx="580"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Freeform 35"/>
                              <wps:cNvSpPr>
                                <a:spLocks/>
                              </wps:cNvSpPr>
                              <wps:spPr bwMode="auto">
                                <a:xfrm>
                                  <a:off x="352" y="1079"/>
                                  <a:ext cx="302" cy="730"/>
                                </a:xfrm>
                                <a:custGeom>
                                  <a:avLst/>
                                  <a:gdLst>
                                    <a:gd name="T0" fmla="*/ 298 w 302"/>
                                    <a:gd name="T1" fmla="*/ 0 h 730"/>
                                    <a:gd name="T2" fmla="*/ 295 w 302"/>
                                    <a:gd name="T3" fmla="*/ 1 h 730"/>
                                    <a:gd name="T4" fmla="*/ 291 w 302"/>
                                    <a:gd name="T5" fmla="*/ 2 h 730"/>
                                    <a:gd name="T6" fmla="*/ 288 w 302"/>
                                    <a:gd name="T7" fmla="*/ 4 h 730"/>
                                    <a:gd name="T8" fmla="*/ 223 w 302"/>
                                    <a:gd name="T9" fmla="*/ 41 h 730"/>
                                    <a:gd name="T10" fmla="*/ 166 w 302"/>
                                    <a:gd name="T11" fmla="*/ 87 h 730"/>
                                    <a:gd name="T12" fmla="*/ 116 w 302"/>
                                    <a:gd name="T13" fmla="*/ 139 h 730"/>
                                    <a:gd name="T14" fmla="*/ 74 w 302"/>
                                    <a:gd name="T15" fmla="*/ 198 h 730"/>
                                    <a:gd name="T16" fmla="*/ 41 w 302"/>
                                    <a:gd name="T17" fmla="*/ 262 h 730"/>
                                    <a:gd name="T18" fmla="*/ 18 w 302"/>
                                    <a:gd name="T19" fmla="*/ 330 h 730"/>
                                    <a:gd name="T20" fmla="*/ 3 w 302"/>
                                    <a:gd name="T21" fmla="*/ 401 h 730"/>
                                    <a:gd name="T22" fmla="*/ 0 w 302"/>
                                    <a:gd name="T23" fmla="*/ 474 h 730"/>
                                    <a:gd name="T24" fmla="*/ 6 w 302"/>
                                    <a:gd name="T25" fmla="*/ 548 h 730"/>
                                    <a:gd name="T26" fmla="*/ 24 w 302"/>
                                    <a:gd name="T27" fmla="*/ 622 h 730"/>
                                    <a:gd name="T28" fmla="*/ 35 w 302"/>
                                    <a:gd name="T29" fmla="*/ 650 h 730"/>
                                    <a:gd name="T30" fmla="*/ 46 w 302"/>
                                    <a:gd name="T31" fmla="*/ 678 h 730"/>
                                    <a:gd name="T32" fmla="*/ 59 w 302"/>
                                    <a:gd name="T33" fmla="*/ 704 h 730"/>
                                    <a:gd name="T34" fmla="*/ 74 w 302"/>
                                    <a:gd name="T35" fmla="*/ 729 h 730"/>
                                    <a:gd name="T36" fmla="*/ 296 w 302"/>
                                    <a:gd name="T37" fmla="*/ 44 h 730"/>
                                    <a:gd name="T38" fmla="*/ 299 w 302"/>
                                    <a:gd name="T39" fmla="*/ 33 h 730"/>
                                    <a:gd name="T40" fmla="*/ 301 w 302"/>
                                    <a:gd name="T41" fmla="*/ 22 h 730"/>
                                    <a:gd name="T42" fmla="*/ 300 w 302"/>
                                    <a:gd name="T43" fmla="*/ 10 h 730"/>
                                    <a:gd name="T44" fmla="*/ 298 w 302"/>
                                    <a:gd name="T45" fmla="*/ 0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2" h="730">
                                      <a:moveTo>
                                        <a:pt x="298" y="0"/>
                                      </a:moveTo>
                                      <a:lnTo>
                                        <a:pt x="295" y="1"/>
                                      </a:lnTo>
                                      <a:lnTo>
                                        <a:pt x="291" y="2"/>
                                      </a:lnTo>
                                      <a:lnTo>
                                        <a:pt x="288" y="4"/>
                                      </a:lnTo>
                                      <a:lnTo>
                                        <a:pt x="223" y="41"/>
                                      </a:lnTo>
                                      <a:lnTo>
                                        <a:pt x="166" y="87"/>
                                      </a:lnTo>
                                      <a:lnTo>
                                        <a:pt x="116" y="139"/>
                                      </a:lnTo>
                                      <a:lnTo>
                                        <a:pt x="74" y="198"/>
                                      </a:lnTo>
                                      <a:lnTo>
                                        <a:pt x="41" y="262"/>
                                      </a:lnTo>
                                      <a:lnTo>
                                        <a:pt x="18" y="330"/>
                                      </a:lnTo>
                                      <a:lnTo>
                                        <a:pt x="3" y="401"/>
                                      </a:lnTo>
                                      <a:lnTo>
                                        <a:pt x="0" y="474"/>
                                      </a:lnTo>
                                      <a:lnTo>
                                        <a:pt x="6" y="548"/>
                                      </a:lnTo>
                                      <a:lnTo>
                                        <a:pt x="24" y="622"/>
                                      </a:lnTo>
                                      <a:lnTo>
                                        <a:pt x="35" y="650"/>
                                      </a:lnTo>
                                      <a:lnTo>
                                        <a:pt x="46" y="678"/>
                                      </a:lnTo>
                                      <a:lnTo>
                                        <a:pt x="59" y="704"/>
                                      </a:lnTo>
                                      <a:lnTo>
                                        <a:pt x="74" y="729"/>
                                      </a:lnTo>
                                      <a:lnTo>
                                        <a:pt x="296" y="44"/>
                                      </a:lnTo>
                                      <a:lnTo>
                                        <a:pt x="299" y="33"/>
                                      </a:lnTo>
                                      <a:lnTo>
                                        <a:pt x="301" y="22"/>
                                      </a:lnTo>
                                      <a:lnTo>
                                        <a:pt x="300" y="10"/>
                                      </a:lnTo>
                                      <a:lnTo>
                                        <a:pt x="298" y="0"/>
                                      </a:lnTo>
                                      <a:close/>
                                    </a:path>
                                  </a:pathLst>
                                </a:custGeom>
                                <a:solidFill>
                                  <a:srgbClr val="00AB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 name="Group 36"/>
                              <wpg:cNvGrpSpPr>
                                <a:grpSpLocks/>
                              </wpg:cNvGrpSpPr>
                              <wpg:grpSpPr bwMode="auto">
                                <a:xfrm>
                                  <a:off x="704" y="1061"/>
                                  <a:ext cx="833" cy="788"/>
                                  <a:chOff x="704" y="1061"/>
                                  <a:chExt cx="833" cy="788"/>
                                </a:xfrm>
                              </wpg:grpSpPr>
                              <wps:wsp>
                                <wps:cNvPr id="9" name="Freeform 37"/>
                                <wps:cNvSpPr>
                                  <a:spLocks/>
                                </wps:cNvSpPr>
                                <wps:spPr bwMode="auto">
                                  <a:xfrm>
                                    <a:off x="704" y="1061"/>
                                    <a:ext cx="833" cy="788"/>
                                  </a:xfrm>
                                  <a:custGeom>
                                    <a:avLst/>
                                    <a:gdLst>
                                      <a:gd name="T0" fmla="*/ 45 w 833"/>
                                      <a:gd name="T1" fmla="*/ 0 h 788"/>
                                      <a:gd name="T2" fmla="*/ 33 w 833"/>
                                      <a:gd name="T3" fmla="*/ 1 h 788"/>
                                      <a:gd name="T4" fmla="*/ 21 w 833"/>
                                      <a:gd name="T5" fmla="*/ 5 h 788"/>
                                      <a:gd name="T6" fmla="*/ 10 w 833"/>
                                      <a:gd name="T7" fmla="*/ 13 h 788"/>
                                      <a:gd name="T8" fmla="*/ 0 w 833"/>
                                      <a:gd name="T9" fmla="*/ 25 h 788"/>
                                      <a:gd name="T10" fmla="*/ 8 w 833"/>
                                      <a:gd name="T11" fmla="*/ 32 h 788"/>
                                      <a:gd name="T12" fmla="*/ 14 w 833"/>
                                      <a:gd name="T13" fmla="*/ 41 h 788"/>
                                      <a:gd name="T14" fmla="*/ 20 w 833"/>
                                      <a:gd name="T15" fmla="*/ 51 h 788"/>
                                      <a:gd name="T16" fmla="*/ 24 w 833"/>
                                      <a:gd name="T17" fmla="*/ 62 h 788"/>
                                      <a:gd name="T18" fmla="*/ 247 w 833"/>
                                      <a:gd name="T19" fmla="*/ 747 h 788"/>
                                      <a:gd name="T20" fmla="*/ 295 w 833"/>
                                      <a:gd name="T21" fmla="*/ 765 h 788"/>
                                      <a:gd name="T22" fmla="*/ 344 w 833"/>
                                      <a:gd name="T23" fmla="*/ 777 h 788"/>
                                      <a:gd name="T24" fmla="*/ 394 w 833"/>
                                      <a:gd name="T25" fmla="*/ 785 h 788"/>
                                      <a:gd name="T26" fmla="*/ 444 w 833"/>
                                      <a:gd name="T27" fmla="*/ 787 h 788"/>
                                      <a:gd name="T28" fmla="*/ 525 w 833"/>
                                      <a:gd name="T29" fmla="*/ 781 h 788"/>
                                      <a:gd name="T30" fmla="*/ 604 w 833"/>
                                      <a:gd name="T31" fmla="*/ 761 h 788"/>
                                      <a:gd name="T32" fmla="*/ 680 w 833"/>
                                      <a:gd name="T33" fmla="*/ 730 h 788"/>
                                      <a:gd name="T34" fmla="*/ 750 w 833"/>
                                      <a:gd name="T35" fmla="*/ 686 h 788"/>
                                      <a:gd name="T36" fmla="*/ 814 w 833"/>
                                      <a:gd name="T37" fmla="*/ 630 h 788"/>
                                      <a:gd name="T38" fmla="*/ 831 w 833"/>
                                      <a:gd name="T39" fmla="*/ 602 h 788"/>
                                      <a:gd name="T40" fmla="*/ 832 w 833"/>
                                      <a:gd name="T41" fmla="*/ 576 h 788"/>
                                      <a:gd name="T42" fmla="*/ 821 w 833"/>
                                      <a:gd name="T43" fmla="*/ 552 h 788"/>
                                      <a:gd name="T44" fmla="*/ 802 w 833"/>
                                      <a:gd name="T45" fmla="*/ 534 h 788"/>
                                      <a:gd name="T46" fmla="*/ 690 w 833"/>
                                      <a:gd name="T47" fmla="*/ 452 h 788"/>
                                      <a:gd name="T48" fmla="*/ 554 w 833"/>
                                      <a:gd name="T49" fmla="*/ 452 h 788"/>
                                      <a:gd name="T50" fmla="*/ 478 w 833"/>
                                      <a:gd name="T51" fmla="*/ 447 h 788"/>
                                      <a:gd name="T52" fmla="*/ 405 w 833"/>
                                      <a:gd name="T53" fmla="*/ 430 h 788"/>
                                      <a:gd name="T54" fmla="*/ 337 w 833"/>
                                      <a:gd name="T55" fmla="*/ 404 h 788"/>
                                      <a:gd name="T56" fmla="*/ 274 w 833"/>
                                      <a:gd name="T57" fmla="*/ 369 h 788"/>
                                      <a:gd name="T58" fmla="*/ 217 w 833"/>
                                      <a:gd name="T59" fmla="*/ 325 h 788"/>
                                      <a:gd name="T60" fmla="*/ 166 w 833"/>
                                      <a:gd name="T61" fmla="*/ 274 h 788"/>
                                      <a:gd name="T62" fmla="*/ 123 w 833"/>
                                      <a:gd name="T63" fmla="*/ 216 h 788"/>
                                      <a:gd name="T64" fmla="*/ 89 w 833"/>
                                      <a:gd name="T65" fmla="*/ 152 h 788"/>
                                      <a:gd name="T66" fmla="*/ 63 w 833"/>
                                      <a:gd name="T67" fmla="*/ 84 h 788"/>
                                      <a:gd name="T68" fmla="*/ 47 w 833"/>
                                      <a:gd name="T69" fmla="*/ 11 h 788"/>
                                      <a:gd name="T70" fmla="*/ 47 w 833"/>
                                      <a:gd name="T71" fmla="*/ 7 h 788"/>
                                      <a:gd name="T72" fmla="*/ 47 w 833"/>
                                      <a:gd name="T73" fmla="*/ 5 h 788"/>
                                      <a:gd name="T74" fmla="*/ 47 w 833"/>
                                      <a:gd name="T75" fmla="*/ 0 h 788"/>
                                      <a:gd name="T76" fmla="*/ 45 w 833"/>
                                      <a:gd name="T77" fmla="*/ 0 h 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33" h="788">
                                        <a:moveTo>
                                          <a:pt x="45" y="0"/>
                                        </a:moveTo>
                                        <a:lnTo>
                                          <a:pt x="33" y="1"/>
                                        </a:lnTo>
                                        <a:lnTo>
                                          <a:pt x="21" y="5"/>
                                        </a:lnTo>
                                        <a:lnTo>
                                          <a:pt x="10" y="13"/>
                                        </a:lnTo>
                                        <a:lnTo>
                                          <a:pt x="0" y="25"/>
                                        </a:lnTo>
                                        <a:lnTo>
                                          <a:pt x="8" y="32"/>
                                        </a:lnTo>
                                        <a:lnTo>
                                          <a:pt x="14" y="41"/>
                                        </a:lnTo>
                                        <a:lnTo>
                                          <a:pt x="20" y="51"/>
                                        </a:lnTo>
                                        <a:lnTo>
                                          <a:pt x="24" y="62"/>
                                        </a:lnTo>
                                        <a:lnTo>
                                          <a:pt x="247" y="747"/>
                                        </a:lnTo>
                                        <a:lnTo>
                                          <a:pt x="295" y="765"/>
                                        </a:lnTo>
                                        <a:lnTo>
                                          <a:pt x="344" y="777"/>
                                        </a:lnTo>
                                        <a:lnTo>
                                          <a:pt x="394" y="785"/>
                                        </a:lnTo>
                                        <a:lnTo>
                                          <a:pt x="444" y="787"/>
                                        </a:lnTo>
                                        <a:lnTo>
                                          <a:pt x="525" y="781"/>
                                        </a:lnTo>
                                        <a:lnTo>
                                          <a:pt x="604" y="761"/>
                                        </a:lnTo>
                                        <a:lnTo>
                                          <a:pt x="680" y="730"/>
                                        </a:lnTo>
                                        <a:lnTo>
                                          <a:pt x="750" y="686"/>
                                        </a:lnTo>
                                        <a:lnTo>
                                          <a:pt x="814" y="630"/>
                                        </a:lnTo>
                                        <a:lnTo>
                                          <a:pt x="831" y="602"/>
                                        </a:lnTo>
                                        <a:lnTo>
                                          <a:pt x="832" y="576"/>
                                        </a:lnTo>
                                        <a:lnTo>
                                          <a:pt x="821" y="552"/>
                                        </a:lnTo>
                                        <a:lnTo>
                                          <a:pt x="802" y="534"/>
                                        </a:lnTo>
                                        <a:lnTo>
                                          <a:pt x="690" y="452"/>
                                        </a:lnTo>
                                        <a:lnTo>
                                          <a:pt x="554" y="452"/>
                                        </a:lnTo>
                                        <a:lnTo>
                                          <a:pt x="478" y="447"/>
                                        </a:lnTo>
                                        <a:lnTo>
                                          <a:pt x="405" y="430"/>
                                        </a:lnTo>
                                        <a:lnTo>
                                          <a:pt x="337" y="404"/>
                                        </a:lnTo>
                                        <a:lnTo>
                                          <a:pt x="274" y="369"/>
                                        </a:lnTo>
                                        <a:lnTo>
                                          <a:pt x="217" y="325"/>
                                        </a:lnTo>
                                        <a:lnTo>
                                          <a:pt x="166" y="274"/>
                                        </a:lnTo>
                                        <a:lnTo>
                                          <a:pt x="123" y="216"/>
                                        </a:lnTo>
                                        <a:lnTo>
                                          <a:pt x="89" y="152"/>
                                        </a:lnTo>
                                        <a:lnTo>
                                          <a:pt x="63" y="84"/>
                                        </a:lnTo>
                                        <a:lnTo>
                                          <a:pt x="47" y="11"/>
                                        </a:lnTo>
                                        <a:lnTo>
                                          <a:pt x="47" y="7"/>
                                        </a:lnTo>
                                        <a:lnTo>
                                          <a:pt x="47" y="5"/>
                                        </a:lnTo>
                                        <a:lnTo>
                                          <a:pt x="47" y="0"/>
                                        </a:lnTo>
                                        <a:lnTo>
                                          <a:pt x="45" y="0"/>
                                        </a:lnTo>
                                        <a:close/>
                                      </a:path>
                                    </a:pathLst>
                                  </a:custGeom>
                                  <a:solidFill>
                                    <a:srgbClr val="6AC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38"/>
                                <wps:cNvSpPr>
                                  <a:spLocks/>
                                </wps:cNvSpPr>
                                <wps:spPr bwMode="auto">
                                  <a:xfrm>
                                    <a:off x="704" y="1061"/>
                                    <a:ext cx="833" cy="788"/>
                                  </a:xfrm>
                                  <a:custGeom>
                                    <a:avLst/>
                                    <a:gdLst>
                                      <a:gd name="T0" fmla="*/ 671 w 833"/>
                                      <a:gd name="T1" fmla="*/ 439 h 788"/>
                                      <a:gd name="T2" fmla="*/ 643 w 833"/>
                                      <a:gd name="T3" fmla="*/ 445 h 788"/>
                                      <a:gd name="T4" fmla="*/ 614 w 833"/>
                                      <a:gd name="T5" fmla="*/ 449 h 788"/>
                                      <a:gd name="T6" fmla="*/ 584 w 833"/>
                                      <a:gd name="T7" fmla="*/ 451 h 788"/>
                                      <a:gd name="T8" fmla="*/ 554 w 833"/>
                                      <a:gd name="T9" fmla="*/ 452 h 788"/>
                                      <a:gd name="T10" fmla="*/ 690 w 833"/>
                                      <a:gd name="T11" fmla="*/ 452 h 788"/>
                                      <a:gd name="T12" fmla="*/ 671 w 833"/>
                                      <a:gd name="T13" fmla="*/ 439 h 788"/>
                                    </a:gdLst>
                                    <a:ahLst/>
                                    <a:cxnLst>
                                      <a:cxn ang="0">
                                        <a:pos x="T0" y="T1"/>
                                      </a:cxn>
                                      <a:cxn ang="0">
                                        <a:pos x="T2" y="T3"/>
                                      </a:cxn>
                                      <a:cxn ang="0">
                                        <a:pos x="T4" y="T5"/>
                                      </a:cxn>
                                      <a:cxn ang="0">
                                        <a:pos x="T6" y="T7"/>
                                      </a:cxn>
                                      <a:cxn ang="0">
                                        <a:pos x="T8" y="T9"/>
                                      </a:cxn>
                                      <a:cxn ang="0">
                                        <a:pos x="T10" y="T11"/>
                                      </a:cxn>
                                      <a:cxn ang="0">
                                        <a:pos x="T12" y="T13"/>
                                      </a:cxn>
                                    </a:cxnLst>
                                    <a:rect l="0" t="0" r="r" b="b"/>
                                    <a:pathLst>
                                      <a:path w="833" h="788">
                                        <a:moveTo>
                                          <a:pt x="671" y="439"/>
                                        </a:moveTo>
                                        <a:lnTo>
                                          <a:pt x="643" y="445"/>
                                        </a:lnTo>
                                        <a:lnTo>
                                          <a:pt x="614" y="449"/>
                                        </a:lnTo>
                                        <a:lnTo>
                                          <a:pt x="584" y="451"/>
                                        </a:lnTo>
                                        <a:lnTo>
                                          <a:pt x="554" y="452"/>
                                        </a:lnTo>
                                        <a:lnTo>
                                          <a:pt x="690" y="452"/>
                                        </a:lnTo>
                                        <a:lnTo>
                                          <a:pt x="671" y="439"/>
                                        </a:lnTo>
                                        <a:close/>
                                      </a:path>
                                    </a:pathLst>
                                  </a:custGeom>
                                  <a:solidFill>
                                    <a:srgbClr val="6AC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1"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04" y="1062"/>
                                  <a:ext cx="8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40"/>
                              <wps:cNvSpPr>
                                <a:spLocks/>
                              </wps:cNvSpPr>
                              <wps:spPr bwMode="auto">
                                <a:xfrm>
                                  <a:off x="638" y="1087"/>
                                  <a:ext cx="313" cy="723"/>
                                </a:xfrm>
                                <a:custGeom>
                                  <a:avLst/>
                                  <a:gdLst>
                                    <a:gd name="T0" fmla="*/ 65 w 313"/>
                                    <a:gd name="T1" fmla="*/ 0 h 723"/>
                                    <a:gd name="T2" fmla="*/ 63 w 313"/>
                                    <a:gd name="T3" fmla="*/ 2 h 723"/>
                                    <a:gd name="T4" fmla="*/ 61 w 313"/>
                                    <a:gd name="T5" fmla="*/ 6 h 723"/>
                                    <a:gd name="T6" fmla="*/ 59 w 313"/>
                                    <a:gd name="T7" fmla="*/ 9 h 723"/>
                                    <a:gd name="T8" fmla="*/ 29 w 313"/>
                                    <a:gd name="T9" fmla="*/ 77 h 723"/>
                                    <a:gd name="T10" fmla="*/ 9 w 313"/>
                                    <a:gd name="T11" fmla="*/ 148 h 723"/>
                                    <a:gd name="T12" fmla="*/ 0 w 313"/>
                                    <a:gd name="T13" fmla="*/ 220 h 723"/>
                                    <a:gd name="T14" fmla="*/ 0 w 313"/>
                                    <a:gd name="T15" fmla="*/ 292 h 723"/>
                                    <a:gd name="T16" fmla="*/ 11 w 313"/>
                                    <a:gd name="T17" fmla="*/ 363 h 723"/>
                                    <a:gd name="T18" fmla="*/ 32 w 313"/>
                                    <a:gd name="T19" fmla="*/ 432 h 723"/>
                                    <a:gd name="T20" fmla="*/ 62 w 313"/>
                                    <a:gd name="T21" fmla="*/ 497 h 723"/>
                                    <a:gd name="T22" fmla="*/ 102 w 313"/>
                                    <a:gd name="T23" fmla="*/ 559 h 723"/>
                                    <a:gd name="T24" fmla="*/ 151 w 313"/>
                                    <a:gd name="T25" fmla="*/ 615 h 723"/>
                                    <a:gd name="T26" fmla="*/ 209 w 313"/>
                                    <a:gd name="T27" fmla="*/ 664 h 723"/>
                                    <a:gd name="T28" fmla="*/ 234 w 313"/>
                                    <a:gd name="T29" fmla="*/ 681 h 723"/>
                                    <a:gd name="T30" fmla="*/ 260 w 313"/>
                                    <a:gd name="T31" fmla="*/ 696 h 723"/>
                                    <a:gd name="T32" fmla="*/ 286 w 313"/>
                                    <a:gd name="T33" fmla="*/ 710 h 723"/>
                                    <a:gd name="T34" fmla="*/ 312 w 313"/>
                                    <a:gd name="T35" fmla="*/ 722 h 723"/>
                                    <a:gd name="T36" fmla="*/ 90 w 313"/>
                                    <a:gd name="T37" fmla="*/ 37 h 723"/>
                                    <a:gd name="T38" fmla="*/ 85 w 313"/>
                                    <a:gd name="T39" fmla="*/ 26 h 723"/>
                                    <a:gd name="T40" fmla="*/ 80 w 313"/>
                                    <a:gd name="T41" fmla="*/ 16 h 723"/>
                                    <a:gd name="T42" fmla="*/ 73 w 313"/>
                                    <a:gd name="T43" fmla="*/ 7 h 723"/>
                                    <a:gd name="T44" fmla="*/ 65 w 313"/>
                                    <a:gd name="T45" fmla="*/ 0 h 7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723">
                                      <a:moveTo>
                                        <a:pt x="65" y="0"/>
                                      </a:moveTo>
                                      <a:lnTo>
                                        <a:pt x="63" y="2"/>
                                      </a:lnTo>
                                      <a:lnTo>
                                        <a:pt x="61" y="6"/>
                                      </a:lnTo>
                                      <a:lnTo>
                                        <a:pt x="59" y="9"/>
                                      </a:lnTo>
                                      <a:lnTo>
                                        <a:pt x="29" y="77"/>
                                      </a:lnTo>
                                      <a:lnTo>
                                        <a:pt x="9" y="148"/>
                                      </a:lnTo>
                                      <a:lnTo>
                                        <a:pt x="0" y="220"/>
                                      </a:lnTo>
                                      <a:lnTo>
                                        <a:pt x="0" y="292"/>
                                      </a:lnTo>
                                      <a:lnTo>
                                        <a:pt x="11" y="363"/>
                                      </a:lnTo>
                                      <a:lnTo>
                                        <a:pt x="32" y="432"/>
                                      </a:lnTo>
                                      <a:lnTo>
                                        <a:pt x="62" y="497"/>
                                      </a:lnTo>
                                      <a:lnTo>
                                        <a:pt x="102" y="559"/>
                                      </a:lnTo>
                                      <a:lnTo>
                                        <a:pt x="151" y="615"/>
                                      </a:lnTo>
                                      <a:lnTo>
                                        <a:pt x="209" y="664"/>
                                      </a:lnTo>
                                      <a:lnTo>
                                        <a:pt x="234" y="681"/>
                                      </a:lnTo>
                                      <a:lnTo>
                                        <a:pt x="260" y="696"/>
                                      </a:lnTo>
                                      <a:lnTo>
                                        <a:pt x="286" y="710"/>
                                      </a:lnTo>
                                      <a:lnTo>
                                        <a:pt x="312" y="722"/>
                                      </a:lnTo>
                                      <a:lnTo>
                                        <a:pt x="90" y="37"/>
                                      </a:lnTo>
                                      <a:lnTo>
                                        <a:pt x="85" y="26"/>
                                      </a:lnTo>
                                      <a:lnTo>
                                        <a:pt x="80" y="16"/>
                                      </a:lnTo>
                                      <a:lnTo>
                                        <a:pt x="73" y="7"/>
                                      </a:lnTo>
                                      <a:lnTo>
                                        <a:pt x="65" y="0"/>
                                      </a:lnTo>
                                      <a:close/>
                                    </a:path>
                                  </a:pathLst>
                                </a:custGeom>
                                <a:solidFill>
                                  <a:srgbClr val="00A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 name="Group 41"/>
                              <wpg:cNvGrpSpPr>
                                <a:grpSpLocks/>
                              </wpg:cNvGrpSpPr>
                              <wpg:grpSpPr bwMode="auto">
                                <a:xfrm>
                                  <a:off x="751" y="1001"/>
                                  <a:ext cx="999" cy="500"/>
                                  <a:chOff x="751" y="1001"/>
                                  <a:chExt cx="999" cy="500"/>
                                </a:xfrm>
                              </wpg:grpSpPr>
                              <wps:wsp>
                                <wps:cNvPr id="14" name="Freeform 42"/>
                                <wps:cNvSpPr>
                                  <a:spLocks/>
                                </wps:cNvSpPr>
                                <wps:spPr bwMode="auto">
                                  <a:xfrm>
                                    <a:off x="751" y="1001"/>
                                    <a:ext cx="999" cy="500"/>
                                  </a:xfrm>
                                  <a:custGeom>
                                    <a:avLst/>
                                    <a:gdLst>
                                      <a:gd name="T0" fmla="*/ 23 w 999"/>
                                      <a:gd name="T1" fmla="*/ 11 h 500"/>
                                      <a:gd name="T2" fmla="*/ 13 w 999"/>
                                      <a:gd name="T3" fmla="*/ 20 h 500"/>
                                      <a:gd name="T4" fmla="*/ 6 w 999"/>
                                      <a:gd name="T5" fmla="*/ 30 h 500"/>
                                      <a:gd name="T6" fmla="*/ 1 w 999"/>
                                      <a:gd name="T7" fmla="*/ 44 h 500"/>
                                      <a:gd name="T8" fmla="*/ 0 w 999"/>
                                      <a:gd name="T9" fmla="*/ 60 h 500"/>
                                      <a:gd name="T10" fmla="*/ 10 w 999"/>
                                      <a:gd name="T11" fmla="*/ 61 h 500"/>
                                      <a:gd name="T12" fmla="*/ 21 w 999"/>
                                      <a:gd name="T13" fmla="*/ 64 h 500"/>
                                      <a:gd name="T14" fmla="*/ 32 w 999"/>
                                      <a:gd name="T15" fmla="*/ 69 h 500"/>
                                      <a:gd name="T16" fmla="*/ 42 w 999"/>
                                      <a:gd name="T17" fmla="*/ 75 h 500"/>
                                      <a:gd name="T18" fmla="*/ 624 w 999"/>
                                      <a:gd name="T19" fmla="*/ 499 h 500"/>
                                      <a:gd name="T20" fmla="*/ 698 w 999"/>
                                      <a:gd name="T21" fmla="*/ 475 h 500"/>
                                      <a:gd name="T22" fmla="*/ 767 w 999"/>
                                      <a:gd name="T23" fmla="*/ 441 h 500"/>
                                      <a:gd name="T24" fmla="*/ 829 w 999"/>
                                      <a:gd name="T25" fmla="*/ 398 h 500"/>
                                      <a:gd name="T26" fmla="*/ 884 w 999"/>
                                      <a:gd name="T27" fmla="*/ 346 h 500"/>
                                      <a:gd name="T28" fmla="*/ 931 w 999"/>
                                      <a:gd name="T29" fmla="*/ 286 h 500"/>
                                      <a:gd name="T30" fmla="*/ 969 w 999"/>
                                      <a:gd name="T31" fmla="*/ 220 h 500"/>
                                      <a:gd name="T32" fmla="*/ 986 w 999"/>
                                      <a:gd name="T33" fmla="*/ 177 h 500"/>
                                      <a:gd name="T34" fmla="*/ 400 w 999"/>
                                      <a:gd name="T35" fmla="*/ 177 h 500"/>
                                      <a:gd name="T36" fmla="*/ 318 w 999"/>
                                      <a:gd name="T37" fmla="*/ 170 h 500"/>
                                      <a:gd name="T38" fmla="*/ 239 w 999"/>
                                      <a:gd name="T39" fmla="*/ 151 h 500"/>
                                      <a:gd name="T40" fmla="*/ 164 w 999"/>
                                      <a:gd name="T41" fmla="*/ 120 h 500"/>
                                      <a:gd name="T42" fmla="*/ 93 w 999"/>
                                      <a:gd name="T43" fmla="*/ 76 h 500"/>
                                      <a:gd name="T44" fmla="*/ 30 w 999"/>
                                      <a:gd name="T45" fmla="*/ 20 h 500"/>
                                      <a:gd name="T46" fmla="*/ 27 w 999"/>
                                      <a:gd name="T47" fmla="*/ 17 h 500"/>
                                      <a:gd name="T48" fmla="*/ 25 w 999"/>
                                      <a:gd name="T49" fmla="*/ 14 h 500"/>
                                      <a:gd name="T50" fmla="*/ 23 w 999"/>
                                      <a:gd name="T51" fmla="*/ 11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99" h="500">
                                        <a:moveTo>
                                          <a:pt x="23" y="11"/>
                                        </a:moveTo>
                                        <a:lnTo>
                                          <a:pt x="13" y="20"/>
                                        </a:lnTo>
                                        <a:lnTo>
                                          <a:pt x="6" y="30"/>
                                        </a:lnTo>
                                        <a:lnTo>
                                          <a:pt x="1" y="44"/>
                                        </a:lnTo>
                                        <a:lnTo>
                                          <a:pt x="0" y="60"/>
                                        </a:lnTo>
                                        <a:lnTo>
                                          <a:pt x="10" y="61"/>
                                        </a:lnTo>
                                        <a:lnTo>
                                          <a:pt x="21" y="64"/>
                                        </a:lnTo>
                                        <a:lnTo>
                                          <a:pt x="32" y="69"/>
                                        </a:lnTo>
                                        <a:lnTo>
                                          <a:pt x="42" y="75"/>
                                        </a:lnTo>
                                        <a:lnTo>
                                          <a:pt x="624" y="499"/>
                                        </a:lnTo>
                                        <a:lnTo>
                                          <a:pt x="698" y="475"/>
                                        </a:lnTo>
                                        <a:lnTo>
                                          <a:pt x="767" y="441"/>
                                        </a:lnTo>
                                        <a:lnTo>
                                          <a:pt x="829" y="398"/>
                                        </a:lnTo>
                                        <a:lnTo>
                                          <a:pt x="884" y="346"/>
                                        </a:lnTo>
                                        <a:lnTo>
                                          <a:pt x="931" y="286"/>
                                        </a:lnTo>
                                        <a:lnTo>
                                          <a:pt x="969" y="220"/>
                                        </a:lnTo>
                                        <a:lnTo>
                                          <a:pt x="986" y="177"/>
                                        </a:lnTo>
                                        <a:lnTo>
                                          <a:pt x="400" y="177"/>
                                        </a:lnTo>
                                        <a:lnTo>
                                          <a:pt x="318" y="170"/>
                                        </a:lnTo>
                                        <a:lnTo>
                                          <a:pt x="239" y="151"/>
                                        </a:lnTo>
                                        <a:lnTo>
                                          <a:pt x="164" y="120"/>
                                        </a:lnTo>
                                        <a:lnTo>
                                          <a:pt x="93" y="76"/>
                                        </a:lnTo>
                                        <a:lnTo>
                                          <a:pt x="30" y="20"/>
                                        </a:lnTo>
                                        <a:lnTo>
                                          <a:pt x="27" y="17"/>
                                        </a:lnTo>
                                        <a:lnTo>
                                          <a:pt x="25" y="14"/>
                                        </a:lnTo>
                                        <a:lnTo>
                                          <a:pt x="23" y="11"/>
                                        </a:lnTo>
                                        <a:close/>
                                      </a:path>
                                    </a:pathLst>
                                  </a:custGeom>
                                  <a:solidFill>
                                    <a:srgbClr val="AFD4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3"/>
                                <wps:cNvSpPr>
                                  <a:spLocks/>
                                </wps:cNvSpPr>
                                <wps:spPr bwMode="auto">
                                  <a:xfrm>
                                    <a:off x="751" y="1001"/>
                                    <a:ext cx="999" cy="500"/>
                                  </a:xfrm>
                                  <a:custGeom>
                                    <a:avLst/>
                                    <a:gdLst>
                                      <a:gd name="T0" fmla="*/ 786 w 999"/>
                                      <a:gd name="T1" fmla="*/ 0 h 500"/>
                                      <a:gd name="T2" fmla="*/ 767 w 999"/>
                                      <a:gd name="T3" fmla="*/ 21 h 500"/>
                                      <a:gd name="T4" fmla="*/ 746 w 999"/>
                                      <a:gd name="T5" fmla="*/ 42 h 500"/>
                                      <a:gd name="T6" fmla="*/ 723 w 999"/>
                                      <a:gd name="T7" fmla="*/ 61 h 500"/>
                                      <a:gd name="T8" fmla="*/ 699 w 999"/>
                                      <a:gd name="T9" fmla="*/ 79 h 500"/>
                                      <a:gd name="T10" fmla="*/ 629 w 999"/>
                                      <a:gd name="T11" fmla="*/ 122 h 500"/>
                                      <a:gd name="T12" fmla="*/ 554 w 999"/>
                                      <a:gd name="T13" fmla="*/ 153 h 500"/>
                                      <a:gd name="T14" fmla="*/ 478 w 999"/>
                                      <a:gd name="T15" fmla="*/ 171 h 500"/>
                                      <a:gd name="T16" fmla="*/ 400 w 999"/>
                                      <a:gd name="T17" fmla="*/ 177 h 500"/>
                                      <a:gd name="T18" fmla="*/ 986 w 999"/>
                                      <a:gd name="T19" fmla="*/ 177 h 500"/>
                                      <a:gd name="T20" fmla="*/ 997 w 999"/>
                                      <a:gd name="T21" fmla="*/ 148 h 500"/>
                                      <a:gd name="T22" fmla="*/ 998 w 999"/>
                                      <a:gd name="T23" fmla="*/ 142 h 500"/>
                                      <a:gd name="T24" fmla="*/ 998 w 999"/>
                                      <a:gd name="T25" fmla="*/ 18 h 500"/>
                                      <a:gd name="T26" fmla="*/ 997 w 999"/>
                                      <a:gd name="T27" fmla="*/ 16 h 500"/>
                                      <a:gd name="T28" fmla="*/ 974 w 999"/>
                                      <a:gd name="T29" fmla="*/ 3 h 500"/>
                                      <a:gd name="T30" fmla="*/ 948 w 999"/>
                                      <a:gd name="T31" fmla="*/ 0 h 500"/>
                                      <a:gd name="T32" fmla="*/ 786 w 999"/>
                                      <a:gd name="T33" fmla="*/ 0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99" h="500">
                                        <a:moveTo>
                                          <a:pt x="786" y="0"/>
                                        </a:moveTo>
                                        <a:lnTo>
                                          <a:pt x="767" y="21"/>
                                        </a:lnTo>
                                        <a:lnTo>
                                          <a:pt x="746" y="42"/>
                                        </a:lnTo>
                                        <a:lnTo>
                                          <a:pt x="723" y="61"/>
                                        </a:lnTo>
                                        <a:lnTo>
                                          <a:pt x="699" y="79"/>
                                        </a:lnTo>
                                        <a:lnTo>
                                          <a:pt x="629" y="122"/>
                                        </a:lnTo>
                                        <a:lnTo>
                                          <a:pt x="554" y="153"/>
                                        </a:lnTo>
                                        <a:lnTo>
                                          <a:pt x="478" y="171"/>
                                        </a:lnTo>
                                        <a:lnTo>
                                          <a:pt x="400" y="177"/>
                                        </a:lnTo>
                                        <a:lnTo>
                                          <a:pt x="986" y="177"/>
                                        </a:lnTo>
                                        <a:lnTo>
                                          <a:pt x="997" y="148"/>
                                        </a:lnTo>
                                        <a:lnTo>
                                          <a:pt x="998" y="142"/>
                                        </a:lnTo>
                                        <a:lnTo>
                                          <a:pt x="998" y="18"/>
                                        </a:lnTo>
                                        <a:lnTo>
                                          <a:pt x="997" y="16"/>
                                        </a:lnTo>
                                        <a:lnTo>
                                          <a:pt x="974" y="3"/>
                                        </a:lnTo>
                                        <a:lnTo>
                                          <a:pt x="948" y="0"/>
                                        </a:lnTo>
                                        <a:lnTo>
                                          <a:pt x="786" y="0"/>
                                        </a:lnTo>
                                        <a:close/>
                                      </a:path>
                                    </a:pathLst>
                                  </a:custGeom>
                                  <a:solidFill>
                                    <a:srgbClr val="AFD4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6"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51" y="1002"/>
                                  <a:ext cx="10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45"/>
                              <wps:cNvSpPr>
                                <a:spLocks/>
                              </wps:cNvSpPr>
                              <wps:spPr bwMode="auto">
                                <a:xfrm>
                                  <a:off x="751" y="1061"/>
                                  <a:ext cx="625" cy="453"/>
                                </a:xfrm>
                                <a:custGeom>
                                  <a:avLst/>
                                  <a:gdLst>
                                    <a:gd name="T0" fmla="*/ 0 w 625"/>
                                    <a:gd name="T1" fmla="*/ 0 h 453"/>
                                    <a:gd name="T2" fmla="*/ 0 w 625"/>
                                    <a:gd name="T3" fmla="*/ 4 h 453"/>
                                    <a:gd name="T4" fmla="*/ 0 w 625"/>
                                    <a:gd name="T5" fmla="*/ 7 h 453"/>
                                    <a:gd name="T6" fmla="*/ 0 w 625"/>
                                    <a:gd name="T7" fmla="*/ 11 h 453"/>
                                    <a:gd name="T8" fmla="*/ 16 w 625"/>
                                    <a:gd name="T9" fmla="*/ 84 h 453"/>
                                    <a:gd name="T10" fmla="*/ 41 w 625"/>
                                    <a:gd name="T11" fmla="*/ 152 h 453"/>
                                    <a:gd name="T12" fmla="*/ 76 w 625"/>
                                    <a:gd name="T13" fmla="*/ 216 h 453"/>
                                    <a:gd name="T14" fmla="*/ 119 w 625"/>
                                    <a:gd name="T15" fmla="*/ 274 h 453"/>
                                    <a:gd name="T16" fmla="*/ 170 w 625"/>
                                    <a:gd name="T17" fmla="*/ 325 h 453"/>
                                    <a:gd name="T18" fmla="*/ 227 w 625"/>
                                    <a:gd name="T19" fmla="*/ 368 h 453"/>
                                    <a:gd name="T20" fmla="*/ 290 w 625"/>
                                    <a:gd name="T21" fmla="*/ 404 h 453"/>
                                    <a:gd name="T22" fmla="*/ 358 w 625"/>
                                    <a:gd name="T23" fmla="*/ 430 h 453"/>
                                    <a:gd name="T24" fmla="*/ 431 w 625"/>
                                    <a:gd name="T25" fmla="*/ 447 h 453"/>
                                    <a:gd name="T26" fmla="*/ 507 w 625"/>
                                    <a:gd name="T27" fmla="*/ 452 h 453"/>
                                    <a:gd name="T28" fmla="*/ 537 w 625"/>
                                    <a:gd name="T29" fmla="*/ 451 h 453"/>
                                    <a:gd name="T30" fmla="*/ 567 w 625"/>
                                    <a:gd name="T31" fmla="*/ 449 h 453"/>
                                    <a:gd name="T32" fmla="*/ 596 w 625"/>
                                    <a:gd name="T33" fmla="*/ 445 h 453"/>
                                    <a:gd name="T34" fmla="*/ 624 w 625"/>
                                    <a:gd name="T35" fmla="*/ 439 h 453"/>
                                    <a:gd name="T36" fmla="*/ 42 w 625"/>
                                    <a:gd name="T37" fmla="*/ 15 h 453"/>
                                    <a:gd name="T38" fmla="*/ 32 w 625"/>
                                    <a:gd name="T39" fmla="*/ 9 h 453"/>
                                    <a:gd name="T40" fmla="*/ 21 w 625"/>
                                    <a:gd name="T41" fmla="*/ 4 h 453"/>
                                    <a:gd name="T42" fmla="*/ 10 w 625"/>
                                    <a:gd name="T43" fmla="*/ 1 h 453"/>
                                    <a:gd name="T44" fmla="*/ 0 w 625"/>
                                    <a:gd name="T45"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25" h="453">
                                      <a:moveTo>
                                        <a:pt x="0" y="0"/>
                                      </a:moveTo>
                                      <a:lnTo>
                                        <a:pt x="0" y="4"/>
                                      </a:lnTo>
                                      <a:lnTo>
                                        <a:pt x="0" y="7"/>
                                      </a:lnTo>
                                      <a:lnTo>
                                        <a:pt x="0" y="11"/>
                                      </a:lnTo>
                                      <a:lnTo>
                                        <a:pt x="16" y="84"/>
                                      </a:lnTo>
                                      <a:lnTo>
                                        <a:pt x="41" y="152"/>
                                      </a:lnTo>
                                      <a:lnTo>
                                        <a:pt x="76" y="216"/>
                                      </a:lnTo>
                                      <a:lnTo>
                                        <a:pt x="119" y="274"/>
                                      </a:lnTo>
                                      <a:lnTo>
                                        <a:pt x="170" y="325"/>
                                      </a:lnTo>
                                      <a:lnTo>
                                        <a:pt x="227" y="368"/>
                                      </a:lnTo>
                                      <a:lnTo>
                                        <a:pt x="290" y="404"/>
                                      </a:lnTo>
                                      <a:lnTo>
                                        <a:pt x="358" y="430"/>
                                      </a:lnTo>
                                      <a:lnTo>
                                        <a:pt x="431" y="447"/>
                                      </a:lnTo>
                                      <a:lnTo>
                                        <a:pt x="507" y="452"/>
                                      </a:lnTo>
                                      <a:lnTo>
                                        <a:pt x="537" y="451"/>
                                      </a:lnTo>
                                      <a:lnTo>
                                        <a:pt x="567" y="449"/>
                                      </a:lnTo>
                                      <a:lnTo>
                                        <a:pt x="596" y="445"/>
                                      </a:lnTo>
                                      <a:lnTo>
                                        <a:pt x="624" y="439"/>
                                      </a:lnTo>
                                      <a:lnTo>
                                        <a:pt x="42" y="15"/>
                                      </a:lnTo>
                                      <a:lnTo>
                                        <a:pt x="32" y="9"/>
                                      </a:lnTo>
                                      <a:lnTo>
                                        <a:pt x="21" y="4"/>
                                      </a:lnTo>
                                      <a:lnTo>
                                        <a:pt x="10" y="1"/>
                                      </a:lnTo>
                                      <a:lnTo>
                                        <a:pt x="0" y="0"/>
                                      </a:lnTo>
                                      <a:close/>
                                    </a:path>
                                  </a:pathLst>
                                </a:custGeom>
                                <a:solidFill>
                                  <a:srgbClr val="33B5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 name="Group 46"/>
                              <wpg:cNvGrpSpPr>
                                <a:grpSpLocks/>
                              </wpg:cNvGrpSpPr>
                              <wpg:grpSpPr bwMode="auto">
                                <a:xfrm>
                                  <a:off x="762" y="391"/>
                                  <a:ext cx="900" cy="622"/>
                                  <a:chOff x="762" y="391"/>
                                  <a:chExt cx="900" cy="622"/>
                                </a:xfrm>
                              </wpg:grpSpPr>
                              <wps:wsp>
                                <wps:cNvPr id="19" name="Freeform 47"/>
                                <wps:cNvSpPr>
                                  <a:spLocks/>
                                </wps:cNvSpPr>
                                <wps:spPr bwMode="auto">
                                  <a:xfrm>
                                    <a:off x="762" y="391"/>
                                    <a:ext cx="900" cy="622"/>
                                  </a:xfrm>
                                  <a:custGeom>
                                    <a:avLst/>
                                    <a:gdLst>
                                      <a:gd name="T0" fmla="*/ 2 w 900"/>
                                      <a:gd name="T1" fmla="*/ 569 h 622"/>
                                      <a:gd name="T2" fmla="*/ 0 w 900"/>
                                      <a:gd name="T3" fmla="*/ 581 h 622"/>
                                      <a:gd name="T4" fmla="*/ 0 w 900"/>
                                      <a:gd name="T5" fmla="*/ 594 h 622"/>
                                      <a:gd name="T6" fmla="*/ 4 w 900"/>
                                      <a:gd name="T7" fmla="*/ 607 h 622"/>
                                      <a:gd name="T8" fmla="*/ 12 w 900"/>
                                      <a:gd name="T9" fmla="*/ 621 h 622"/>
                                      <a:gd name="T10" fmla="*/ 21 w 900"/>
                                      <a:gd name="T11" fmla="*/ 616 h 622"/>
                                      <a:gd name="T12" fmla="*/ 32 w 900"/>
                                      <a:gd name="T13" fmla="*/ 612 h 622"/>
                                      <a:gd name="T14" fmla="*/ 43 w 900"/>
                                      <a:gd name="T15" fmla="*/ 610 h 622"/>
                                      <a:gd name="T16" fmla="*/ 55 w 900"/>
                                      <a:gd name="T17" fmla="*/ 609 h 622"/>
                                      <a:gd name="T18" fmla="*/ 776 w 900"/>
                                      <a:gd name="T19" fmla="*/ 609 h 622"/>
                                      <a:gd name="T20" fmla="*/ 798 w 900"/>
                                      <a:gd name="T21" fmla="*/ 579 h 622"/>
                                      <a:gd name="T22" fmla="*/ 103 w 900"/>
                                      <a:gd name="T23" fmla="*/ 579 h 622"/>
                                      <a:gd name="T24" fmla="*/ 80 w 900"/>
                                      <a:gd name="T25" fmla="*/ 579 h 622"/>
                                      <a:gd name="T26" fmla="*/ 58 w 900"/>
                                      <a:gd name="T27" fmla="*/ 577 h 622"/>
                                      <a:gd name="T28" fmla="*/ 36 w 900"/>
                                      <a:gd name="T29" fmla="*/ 575 h 622"/>
                                      <a:gd name="T30" fmla="*/ 13 w 900"/>
                                      <a:gd name="T31" fmla="*/ 571 h 622"/>
                                      <a:gd name="T32" fmla="*/ 9 w 900"/>
                                      <a:gd name="T33" fmla="*/ 571 h 622"/>
                                      <a:gd name="T34" fmla="*/ 6 w 900"/>
                                      <a:gd name="T35" fmla="*/ 570 h 622"/>
                                      <a:gd name="T36" fmla="*/ 2 w 900"/>
                                      <a:gd name="T37" fmla="*/ 569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0" h="622">
                                        <a:moveTo>
                                          <a:pt x="2" y="569"/>
                                        </a:moveTo>
                                        <a:lnTo>
                                          <a:pt x="0" y="581"/>
                                        </a:lnTo>
                                        <a:lnTo>
                                          <a:pt x="0" y="594"/>
                                        </a:lnTo>
                                        <a:lnTo>
                                          <a:pt x="4" y="607"/>
                                        </a:lnTo>
                                        <a:lnTo>
                                          <a:pt x="12" y="621"/>
                                        </a:lnTo>
                                        <a:lnTo>
                                          <a:pt x="21" y="616"/>
                                        </a:lnTo>
                                        <a:lnTo>
                                          <a:pt x="32" y="612"/>
                                        </a:lnTo>
                                        <a:lnTo>
                                          <a:pt x="43" y="610"/>
                                        </a:lnTo>
                                        <a:lnTo>
                                          <a:pt x="55" y="609"/>
                                        </a:lnTo>
                                        <a:lnTo>
                                          <a:pt x="776" y="609"/>
                                        </a:lnTo>
                                        <a:lnTo>
                                          <a:pt x="798" y="579"/>
                                        </a:lnTo>
                                        <a:lnTo>
                                          <a:pt x="103" y="579"/>
                                        </a:lnTo>
                                        <a:lnTo>
                                          <a:pt x="80" y="579"/>
                                        </a:lnTo>
                                        <a:lnTo>
                                          <a:pt x="58" y="577"/>
                                        </a:lnTo>
                                        <a:lnTo>
                                          <a:pt x="36" y="575"/>
                                        </a:lnTo>
                                        <a:lnTo>
                                          <a:pt x="13" y="571"/>
                                        </a:lnTo>
                                        <a:lnTo>
                                          <a:pt x="9" y="571"/>
                                        </a:lnTo>
                                        <a:lnTo>
                                          <a:pt x="6" y="570"/>
                                        </a:lnTo>
                                        <a:lnTo>
                                          <a:pt x="2" y="569"/>
                                        </a:lnTo>
                                        <a:close/>
                                      </a:path>
                                    </a:pathLst>
                                  </a:custGeom>
                                  <a:solidFill>
                                    <a:srgbClr val="E0E3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8"/>
                                <wps:cNvSpPr>
                                  <a:spLocks/>
                                </wps:cNvSpPr>
                                <wps:spPr bwMode="auto">
                                  <a:xfrm>
                                    <a:off x="762" y="391"/>
                                    <a:ext cx="900" cy="622"/>
                                  </a:xfrm>
                                  <a:custGeom>
                                    <a:avLst/>
                                    <a:gdLst>
                                      <a:gd name="T0" fmla="*/ 776 w 900"/>
                                      <a:gd name="T1" fmla="*/ 609 h 622"/>
                                      <a:gd name="T2" fmla="*/ 55 w 900"/>
                                      <a:gd name="T3" fmla="*/ 609 h 622"/>
                                      <a:gd name="T4" fmla="*/ 775 w 900"/>
                                      <a:gd name="T5" fmla="*/ 609 h 622"/>
                                      <a:gd name="T6" fmla="*/ 776 w 900"/>
                                      <a:gd name="T7" fmla="*/ 609 h 622"/>
                                    </a:gdLst>
                                    <a:ahLst/>
                                    <a:cxnLst>
                                      <a:cxn ang="0">
                                        <a:pos x="T0" y="T1"/>
                                      </a:cxn>
                                      <a:cxn ang="0">
                                        <a:pos x="T2" y="T3"/>
                                      </a:cxn>
                                      <a:cxn ang="0">
                                        <a:pos x="T4" y="T5"/>
                                      </a:cxn>
                                      <a:cxn ang="0">
                                        <a:pos x="T6" y="T7"/>
                                      </a:cxn>
                                    </a:cxnLst>
                                    <a:rect l="0" t="0" r="r" b="b"/>
                                    <a:pathLst>
                                      <a:path w="900" h="622">
                                        <a:moveTo>
                                          <a:pt x="776" y="609"/>
                                        </a:moveTo>
                                        <a:lnTo>
                                          <a:pt x="55" y="609"/>
                                        </a:lnTo>
                                        <a:lnTo>
                                          <a:pt x="775" y="609"/>
                                        </a:lnTo>
                                        <a:lnTo>
                                          <a:pt x="776" y="609"/>
                                        </a:lnTo>
                                        <a:close/>
                                      </a:path>
                                    </a:pathLst>
                                  </a:custGeom>
                                  <a:solidFill>
                                    <a:srgbClr val="E0E3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49"/>
                                <wps:cNvSpPr>
                                  <a:spLocks/>
                                </wps:cNvSpPr>
                                <wps:spPr bwMode="auto">
                                  <a:xfrm>
                                    <a:off x="762" y="391"/>
                                    <a:ext cx="900" cy="622"/>
                                  </a:xfrm>
                                  <a:custGeom>
                                    <a:avLst/>
                                    <a:gdLst>
                                      <a:gd name="T0" fmla="*/ 787 w 900"/>
                                      <a:gd name="T1" fmla="*/ 0 h 622"/>
                                      <a:gd name="T2" fmla="*/ 776 w 900"/>
                                      <a:gd name="T3" fmla="*/ 1 h 622"/>
                                      <a:gd name="T4" fmla="*/ 765 w 900"/>
                                      <a:gd name="T5" fmla="*/ 4 h 622"/>
                                      <a:gd name="T6" fmla="*/ 754 w 900"/>
                                      <a:gd name="T7" fmla="*/ 9 h 622"/>
                                      <a:gd name="T8" fmla="*/ 744 w 900"/>
                                      <a:gd name="T9" fmla="*/ 15 h 622"/>
                                      <a:gd name="T10" fmla="*/ 613 w 900"/>
                                      <a:gd name="T11" fmla="*/ 110 h 622"/>
                                      <a:gd name="T12" fmla="*/ 610 w 900"/>
                                      <a:gd name="T13" fmla="*/ 139 h 622"/>
                                      <a:gd name="T14" fmla="*/ 605 w 900"/>
                                      <a:gd name="T15" fmla="*/ 168 h 622"/>
                                      <a:gd name="T16" fmla="*/ 598 w 900"/>
                                      <a:gd name="T17" fmla="*/ 197 h 622"/>
                                      <a:gd name="T18" fmla="*/ 590 w 900"/>
                                      <a:gd name="T19" fmla="*/ 226 h 622"/>
                                      <a:gd name="T20" fmla="*/ 561 w 900"/>
                                      <a:gd name="T21" fmla="*/ 295 h 622"/>
                                      <a:gd name="T22" fmla="*/ 525 w 900"/>
                                      <a:gd name="T23" fmla="*/ 358 h 622"/>
                                      <a:gd name="T24" fmla="*/ 480 w 900"/>
                                      <a:gd name="T25" fmla="*/ 414 h 622"/>
                                      <a:gd name="T26" fmla="*/ 429 w 900"/>
                                      <a:gd name="T27" fmla="*/ 462 h 622"/>
                                      <a:gd name="T28" fmla="*/ 371 w 900"/>
                                      <a:gd name="T29" fmla="*/ 503 h 622"/>
                                      <a:gd name="T30" fmla="*/ 309 w 900"/>
                                      <a:gd name="T31" fmla="*/ 536 h 622"/>
                                      <a:gd name="T32" fmla="*/ 243 w 900"/>
                                      <a:gd name="T33" fmla="*/ 560 h 622"/>
                                      <a:gd name="T34" fmla="*/ 174 w 900"/>
                                      <a:gd name="T35" fmla="*/ 574 h 622"/>
                                      <a:gd name="T36" fmla="*/ 103 w 900"/>
                                      <a:gd name="T37" fmla="*/ 579 h 622"/>
                                      <a:gd name="T38" fmla="*/ 798 w 900"/>
                                      <a:gd name="T39" fmla="*/ 579 h 622"/>
                                      <a:gd name="T40" fmla="*/ 821 w 900"/>
                                      <a:gd name="T41" fmla="*/ 547 h 622"/>
                                      <a:gd name="T42" fmla="*/ 857 w 900"/>
                                      <a:gd name="T43" fmla="*/ 479 h 622"/>
                                      <a:gd name="T44" fmla="*/ 882 w 900"/>
                                      <a:gd name="T45" fmla="*/ 407 h 622"/>
                                      <a:gd name="T46" fmla="*/ 896 w 900"/>
                                      <a:gd name="T47" fmla="*/ 333 h 622"/>
                                      <a:gd name="T48" fmla="*/ 899 w 900"/>
                                      <a:gd name="T49" fmla="*/ 257 h 622"/>
                                      <a:gd name="T50" fmla="*/ 891 w 900"/>
                                      <a:gd name="T51" fmla="*/ 181 h 622"/>
                                      <a:gd name="T52" fmla="*/ 871 w 900"/>
                                      <a:gd name="T53" fmla="*/ 106 h 622"/>
                                      <a:gd name="T54" fmla="*/ 839 w 900"/>
                                      <a:gd name="T55" fmla="*/ 34 h 622"/>
                                      <a:gd name="T56" fmla="*/ 828 w 900"/>
                                      <a:gd name="T57" fmla="*/ 18 h 622"/>
                                      <a:gd name="T58" fmla="*/ 815 w 900"/>
                                      <a:gd name="T59" fmla="*/ 8 h 622"/>
                                      <a:gd name="T60" fmla="*/ 801 w 900"/>
                                      <a:gd name="T61" fmla="*/ 1 h 622"/>
                                      <a:gd name="T62" fmla="*/ 787 w 900"/>
                                      <a:gd name="T63" fmla="*/ 0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00" h="622">
                                        <a:moveTo>
                                          <a:pt x="787" y="0"/>
                                        </a:moveTo>
                                        <a:lnTo>
                                          <a:pt x="776" y="1"/>
                                        </a:lnTo>
                                        <a:lnTo>
                                          <a:pt x="765" y="4"/>
                                        </a:lnTo>
                                        <a:lnTo>
                                          <a:pt x="754" y="9"/>
                                        </a:lnTo>
                                        <a:lnTo>
                                          <a:pt x="744" y="15"/>
                                        </a:lnTo>
                                        <a:lnTo>
                                          <a:pt x="613" y="110"/>
                                        </a:lnTo>
                                        <a:lnTo>
                                          <a:pt x="610" y="139"/>
                                        </a:lnTo>
                                        <a:lnTo>
                                          <a:pt x="605" y="168"/>
                                        </a:lnTo>
                                        <a:lnTo>
                                          <a:pt x="598" y="197"/>
                                        </a:lnTo>
                                        <a:lnTo>
                                          <a:pt x="590" y="226"/>
                                        </a:lnTo>
                                        <a:lnTo>
                                          <a:pt x="561" y="295"/>
                                        </a:lnTo>
                                        <a:lnTo>
                                          <a:pt x="525" y="358"/>
                                        </a:lnTo>
                                        <a:lnTo>
                                          <a:pt x="480" y="414"/>
                                        </a:lnTo>
                                        <a:lnTo>
                                          <a:pt x="429" y="462"/>
                                        </a:lnTo>
                                        <a:lnTo>
                                          <a:pt x="371" y="503"/>
                                        </a:lnTo>
                                        <a:lnTo>
                                          <a:pt x="309" y="536"/>
                                        </a:lnTo>
                                        <a:lnTo>
                                          <a:pt x="243" y="560"/>
                                        </a:lnTo>
                                        <a:lnTo>
                                          <a:pt x="174" y="574"/>
                                        </a:lnTo>
                                        <a:lnTo>
                                          <a:pt x="103" y="579"/>
                                        </a:lnTo>
                                        <a:lnTo>
                                          <a:pt x="798" y="579"/>
                                        </a:lnTo>
                                        <a:lnTo>
                                          <a:pt x="821" y="547"/>
                                        </a:lnTo>
                                        <a:lnTo>
                                          <a:pt x="857" y="479"/>
                                        </a:lnTo>
                                        <a:lnTo>
                                          <a:pt x="882" y="407"/>
                                        </a:lnTo>
                                        <a:lnTo>
                                          <a:pt x="896" y="333"/>
                                        </a:lnTo>
                                        <a:lnTo>
                                          <a:pt x="899" y="257"/>
                                        </a:lnTo>
                                        <a:lnTo>
                                          <a:pt x="891" y="181"/>
                                        </a:lnTo>
                                        <a:lnTo>
                                          <a:pt x="871" y="106"/>
                                        </a:lnTo>
                                        <a:lnTo>
                                          <a:pt x="839" y="34"/>
                                        </a:lnTo>
                                        <a:lnTo>
                                          <a:pt x="828" y="18"/>
                                        </a:lnTo>
                                        <a:lnTo>
                                          <a:pt x="815" y="8"/>
                                        </a:lnTo>
                                        <a:lnTo>
                                          <a:pt x="801" y="1"/>
                                        </a:lnTo>
                                        <a:lnTo>
                                          <a:pt x="787" y="0"/>
                                        </a:lnTo>
                                        <a:close/>
                                      </a:path>
                                    </a:pathLst>
                                  </a:custGeom>
                                  <a:solidFill>
                                    <a:srgbClr val="E0E3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2" name="Picture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62" y="392"/>
                                  <a:ext cx="90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51"/>
                              <wps:cNvSpPr>
                                <a:spLocks/>
                              </wps:cNvSpPr>
                              <wps:spPr bwMode="auto">
                                <a:xfrm>
                                  <a:off x="774" y="1001"/>
                                  <a:ext cx="764" cy="178"/>
                                </a:xfrm>
                                <a:custGeom>
                                  <a:avLst/>
                                  <a:gdLst>
                                    <a:gd name="T0" fmla="*/ 43 w 764"/>
                                    <a:gd name="T1" fmla="*/ 0 h 178"/>
                                    <a:gd name="T2" fmla="*/ 31 w 764"/>
                                    <a:gd name="T3" fmla="*/ 0 h 178"/>
                                    <a:gd name="T4" fmla="*/ 20 w 764"/>
                                    <a:gd name="T5" fmla="*/ 2 h 178"/>
                                    <a:gd name="T6" fmla="*/ 9 w 764"/>
                                    <a:gd name="T7" fmla="*/ 6 h 178"/>
                                    <a:gd name="T8" fmla="*/ 0 w 764"/>
                                    <a:gd name="T9" fmla="*/ 11 h 178"/>
                                    <a:gd name="T10" fmla="*/ 2 w 764"/>
                                    <a:gd name="T11" fmla="*/ 14 h 178"/>
                                    <a:gd name="T12" fmla="*/ 4 w 764"/>
                                    <a:gd name="T13" fmla="*/ 17 h 178"/>
                                    <a:gd name="T14" fmla="*/ 7 w 764"/>
                                    <a:gd name="T15" fmla="*/ 20 h 178"/>
                                    <a:gd name="T16" fmla="*/ 70 w 764"/>
                                    <a:gd name="T17" fmla="*/ 76 h 178"/>
                                    <a:gd name="T18" fmla="*/ 140 w 764"/>
                                    <a:gd name="T19" fmla="*/ 120 h 178"/>
                                    <a:gd name="T20" fmla="*/ 216 w 764"/>
                                    <a:gd name="T21" fmla="*/ 151 h 178"/>
                                    <a:gd name="T22" fmla="*/ 295 w 764"/>
                                    <a:gd name="T23" fmla="*/ 171 h 178"/>
                                    <a:gd name="T24" fmla="*/ 376 w 764"/>
                                    <a:gd name="T25" fmla="*/ 177 h 178"/>
                                    <a:gd name="T26" fmla="*/ 454 w 764"/>
                                    <a:gd name="T27" fmla="*/ 171 h 178"/>
                                    <a:gd name="T28" fmla="*/ 531 w 764"/>
                                    <a:gd name="T29" fmla="*/ 153 h 178"/>
                                    <a:gd name="T30" fmla="*/ 606 w 764"/>
                                    <a:gd name="T31" fmla="*/ 123 h 178"/>
                                    <a:gd name="T32" fmla="*/ 676 w 764"/>
                                    <a:gd name="T33" fmla="*/ 80 h 178"/>
                                    <a:gd name="T34" fmla="*/ 700 w 764"/>
                                    <a:gd name="T35" fmla="*/ 61 h 178"/>
                                    <a:gd name="T36" fmla="*/ 722 w 764"/>
                                    <a:gd name="T37" fmla="*/ 42 h 178"/>
                                    <a:gd name="T38" fmla="*/ 743 w 764"/>
                                    <a:gd name="T39" fmla="*/ 21 h 178"/>
                                    <a:gd name="T40" fmla="*/ 763 w 764"/>
                                    <a:gd name="T41" fmla="*/ 0 h 178"/>
                                    <a:gd name="T42" fmla="*/ 43 w 764"/>
                                    <a:gd name="T43"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64" h="178">
                                      <a:moveTo>
                                        <a:pt x="43" y="0"/>
                                      </a:moveTo>
                                      <a:lnTo>
                                        <a:pt x="31" y="0"/>
                                      </a:lnTo>
                                      <a:lnTo>
                                        <a:pt x="20" y="2"/>
                                      </a:lnTo>
                                      <a:lnTo>
                                        <a:pt x="9" y="6"/>
                                      </a:lnTo>
                                      <a:lnTo>
                                        <a:pt x="0" y="11"/>
                                      </a:lnTo>
                                      <a:lnTo>
                                        <a:pt x="2" y="14"/>
                                      </a:lnTo>
                                      <a:lnTo>
                                        <a:pt x="4" y="17"/>
                                      </a:lnTo>
                                      <a:lnTo>
                                        <a:pt x="7" y="20"/>
                                      </a:lnTo>
                                      <a:lnTo>
                                        <a:pt x="70" y="76"/>
                                      </a:lnTo>
                                      <a:lnTo>
                                        <a:pt x="140" y="120"/>
                                      </a:lnTo>
                                      <a:lnTo>
                                        <a:pt x="216" y="151"/>
                                      </a:lnTo>
                                      <a:lnTo>
                                        <a:pt x="295" y="171"/>
                                      </a:lnTo>
                                      <a:lnTo>
                                        <a:pt x="376" y="177"/>
                                      </a:lnTo>
                                      <a:lnTo>
                                        <a:pt x="454" y="171"/>
                                      </a:lnTo>
                                      <a:lnTo>
                                        <a:pt x="531" y="153"/>
                                      </a:lnTo>
                                      <a:lnTo>
                                        <a:pt x="606" y="123"/>
                                      </a:lnTo>
                                      <a:lnTo>
                                        <a:pt x="676" y="80"/>
                                      </a:lnTo>
                                      <a:lnTo>
                                        <a:pt x="700" y="61"/>
                                      </a:lnTo>
                                      <a:lnTo>
                                        <a:pt x="722" y="42"/>
                                      </a:lnTo>
                                      <a:lnTo>
                                        <a:pt x="743" y="21"/>
                                      </a:lnTo>
                                      <a:lnTo>
                                        <a:pt x="763" y="0"/>
                                      </a:lnTo>
                                      <a:lnTo>
                                        <a:pt x="43" y="0"/>
                                      </a:lnTo>
                                      <a:close/>
                                    </a:path>
                                  </a:pathLst>
                                </a:custGeom>
                                <a:solidFill>
                                  <a:srgbClr val="9ACA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52"/>
                              <wps:cNvSpPr>
                                <a:spLocks/>
                              </wps:cNvSpPr>
                              <wps:spPr bwMode="auto">
                                <a:xfrm>
                                  <a:off x="723" y="0"/>
                                  <a:ext cx="653" cy="961"/>
                                </a:xfrm>
                                <a:custGeom>
                                  <a:avLst/>
                                  <a:gdLst>
                                    <a:gd name="T0" fmla="*/ 365 w 653"/>
                                    <a:gd name="T1" fmla="*/ 0 h 961"/>
                                    <a:gd name="T2" fmla="*/ 307 w 653"/>
                                    <a:gd name="T3" fmla="*/ 0 h 961"/>
                                    <a:gd name="T4" fmla="*/ 297 w 653"/>
                                    <a:gd name="T5" fmla="*/ 6 h 961"/>
                                    <a:gd name="T6" fmla="*/ 285 w 653"/>
                                    <a:gd name="T7" fmla="*/ 21 h 961"/>
                                    <a:gd name="T8" fmla="*/ 277 w 653"/>
                                    <a:gd name="T9" fmla="*/ 40 h 961"/>
                                    <a:gd name="T10" fmla="*/ 4 w 653"/>
                                    <a:gd name="T11" fmla="*/ 878 h 961"/>
                                    <a:gd name="T12" fmla="*/ 0 w 653"/>
                                    <a:gd name="T13" fmla="*/ 903 h 961"/>
                                    <a:gd name="T14" fmla="*/ 3 w 653"/>
                                    <a:gd name="T15" fmla="*/ 926 h 961"/>
                                    <a:gd name="T16" fmla="*/ 16 w 653"/>
                                    <a:gd name="T17" fmla="*/ 946 h 961"/>
                                    <a:gd name="T18" fmla="*/ 41 w 653"/>
                                    <a:gd name="T19" fmla="*/ 960 h 961"/>
                                    <a:gd name="T20" fmla="*/ 45 w 653"/>
                                    <a:gd name="T21" fmla="*/ 950 h 961"/>
                                    <a:gd name="T22" fmla="*/ 52 w 653"/>
                                    <a:gd name="T23" fmla="*/ 941 h 961"/>
                                    <a:gd name="T24" fmla="*/ 60 w 653"/>
                                    <a:gd name="T25" fmla="*/ 933 h 961"/>
                                    <a:gd name="T26" fmla="*/ 69 w 653"/>
                                    <a:gd name="T27" fmla="*/ 925 h 961"/>
                                    <a:gd name="T28" fmla="*/ 651 w 653"/>
                                    <a:gd name="T29" fmla="*/ 502 h 961"/>
                                    <a:gd name="T30" fmla="*/ 652 w 653"/>
                                    <a:gd name="T31" fmla="*/ 424 h 961"/>
                                    <a:gd name="T32" fmla="*/ 641 w 653"/>
                                    <a:gd name="T33" fmla="*/ 348 h 961"/>
                                    <a:gd name="T34" fmla="*/ 619 w 653"/>
                                    <a:gd name="T35" fmla="*/ 276 h 961"/>
                                    <a:gd name="T36" fmla="*/ 586 w 653"/>
                                    <a:gd name="T37" fmla="*/ 207 h 961"/>
                                    <a:gd name="T38" fmla="*/ 544 w 653"/>
                                    <a:gd name="T39" fmla="*/ 144 h 961"/>
                                    <a:gd name="T40" fmla="*/ 493 w 653"/>
                                    <a:gd name="T41" fmla="*/ 88 h 961"/>
                                    <a:gd name="T42" fmla="*/ 433 w 653"/>
                                    <a:gd name="T43" fmla="*/ 39 h 961"/>
                                    <a:gd name="T44" fmla="*/ 365 w 653"/>
                                    <a:gd name="T45"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53" h="961">
                                      <a:moveTo>
                                        <a:pt x="365" y="0"/>
                                      </a:moveTo>
                                      <a:lnTo>
                                        <a:pt x="307" y="0"/>
                                      </a:lnTo>
                                      <a:lnTo>
                                        <a:pt x="297" y="6"/>
                                      </a:lnTo>
                                      <a:lnTo>
                                        <a:pt x="285" y="21"/>
                                      </a:lnTo>
                                      <a:lnTo>
                                        <a:pt x="277" y="40"/>
                                      </a:lnTo>
                                      <a:lnTo>
                                        <a:pt x="4" y="878"/>
                                      </a:lnTo>
                                      <a:lnTo>
                                        <a:pt x="0" y="903"/>
                                      </a:lnTo>
                                      <a:lnTo>
                                        <a:pt x="3" y="926"/>
                                      </a:lnTo>
                                      <a:lnTo>
                                        <a:pt x="16" y="946"/>
                                      </a:lnTo>
                                      <a:lnTo>
                                        <a:pt x="41" y="960"/>
                                      </a:lnTo>
                                      <a:lnTo>
                                        <a:pt x="45" y="950"/>
                                      </a:lnTo>
                                      <a:lnTo>
                                        <a:pt x="52" y="941"/>
                                      </a:lnTo>
                                      <a:lnTo>
                                        <a:pt x="60" y="933"/>
                                      </a:lnTo>
                                      <a:lnTo>
                                        <a:pt x="69" y="925"/>
                                      </a:lnTo>
                                      <a:lnTo>
                                        <a:pt x="651" y="502"/>
                                      </a:lnTo>
                                      <a:lnTo>
                                        <a:pt x="652" y="424"/>
                                      </a:lnTo>
                                      <a:lnTo>
                                        <a:pt x="641" y="348"/>
                                      </a:lnTo>
                                      <a:lnTo>
                                        <a:pt x="619" y="276"/>
                                      </a:lnTo>
                                      <a:lnTo>
                                        <a:pt x="586" y="207"/>
                                      </a:lnTo>
                                      <a:lnTo>
                                        <a:pt x="544" y="144"/>
                                      </a:lnTo>
                                      <a:lnTo>
                                        <a:pt x="493" y="88"/>
                                      </a:lnTo>
                                      <a:lnTo>
                                        <a:pt x="433" y="39"/>
                                      </a:lnTo>
                                      <a:lnTo>
                                        <a:pt x="365" y="0"/>
                                      </a:lnTo>
                                      <a:close/>
                                    </a:path>
                                  </a:pathLst>
                                </a:custGeom>
                                <a:solidFill>
                                  <a:srgbClr val="F9E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53"/>
                              <wps:cNvSpPr>
                                <a:spLocks/>
                              </wps:cNvSpPr>
                              <wps:spPr bwMode="auto">
                                <a:xfrm>
                                  <a:off x="765" y="502"/>
                                  <a:ext cx="611" cy="470"/>
                                </a:xfrm>
                                <a:custGeom>
                                  <a:avLst/>
                                  <a:gdLst>
                                    <a:gd name="T0" fmla="*/ 610 w 611"/>
                                    <a:gd name="T1" fmla="*/ 0 h 470"/>
                                    <a:gd name="T2" fmla="*/ 27 w 611"/>
                                    <a:gd name="T3" fmla="*/ 423 h 470"/>
                                    <a:gd name="T4" fmla="*/ 18 w 611"/>
                                    <a:gd name="T5" fmla="*/ 430 h 470"/>
                                    <a:gd name="T6" fmla="*/ 11 w 611"/>
                                    <a:gd name="T7" fmla="*/ 439 h 470"/>
                                    <a:gd name="T8" fmla="*/ 4 w 611"/>
                                    <a:gd name="T9" fmla="*/ 448 h 470"/>
                                    <a:gd name="T10" fmla="*/ 0 w 611"/>
                                    <a:gd name="T11" fmla="*/ 458 h 470"/>
                                    <a:gd name="T12" fmla="*/ 3 w 611"/>
                                    <a:gd name="T13" fmla="*/ 459 h 470"/>
                                    <a:gd name="T14" fmla="*/ 6 w 611"/>
                                    <a:gd name="T15" fmla="*/ 460 h 470"/>
                                    <a:gd name="T16" fmla="*/ 10 w 611"/>
                                    <a:gd name="T17" fmla="*/ 461 h 470"/>
                                    <a:gd name="T18" fmla="*/ 33 w 611"/>
                                    <a:gd name="T19" fmla="*/ 464 h 470"/>
                                    <a:gd name="T20" fmla="*/ 55 w 611"/>
                                    <a:gd name="T21" fmla="*/ 467 h 470"/>
                                    <a:gd name="T22" fmla="*/ 78 w 611"/>
                                    <a:gd name="T23" fmla="*/ 468 h 470"/>
                                    <a:gd name="T24" fmla="*/ 100 w 611"/>
                                    <a:gd name="T25" fmla="*/ 469 h 470"/>
                                    <a:gd name="T26" fmla="*/ 171 w 611"/>
                                    <a:gd name="T27" fmla="*/ 464 h 470"/>
                                    <a:gd name="T28" fmla="*/ 240 w 611"/>
                                    <a:gd name="T29" fmla="*/ 449 h 470"/>
                                    <a:gd name="T30" fmla="*/ 306 w 611"/>
                                    <a:gd name="T31" fmla="*/ 425 h 470"/>
                                    <a:gd name="T32" fmla="*/ 369 w 611"/>
                                    <a:gd name="T33" fmla="*/ 392 h 470"/>
                                    <a:gd name="T34" fmla="*/ 426 w 611"/>
                                    <a:gd name="T35" fmla="*/ 352 h 470"/>
                                    <a:gd name="T36" fmla="*/ 477 w 611"/>
                                    <a:gd name="T37" fmla="*/ 303 h 470"/>
                                    <a:gd name="T38" fmla="*/ 522 w 611"/>
                                    <a:gd name="T39" fmla="*/ 247 h 470"/>
                                    <a:gd name="T40" fmla="*/ 559 w 611"/>
                                    <a:gd name="T41" fmla="*/ 184 h 470"/>
                                    <a:gd name="T42" fmla="*/ 587 w 611"/>
                                    <a:gd name="T43" fmla="*/ 115 h 470"/>
                                    <a:gd name="T44" fmla="*/ 595 w 611"/>
                                    <a:gd name="T45" fmla="*/ 86 h 470"/>
                                    <a:gd name="T46" fmla="*/ 602 w 611"/>
                                    <a:gd name="T47" fmla="*/ 57 h 470"/>
                                    <a:gd name="T48" fmla="*/ 607 w 611"/>
                                    <a:gd name="T49" fmla="*/ 28 h 470"/>
                                    <a:gd name="T50" fmla="*/ 610 w 611"/>
                                    <a:gd name="T51" fmla="*/ 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1" h="470">
                                      <a:moveTo>
                                        <a:pt x="610" y="0"/>
                                      </a:moveTo>
                                      <a:lnTo>
                                        <a:pt x="27" y="423"/>
                                      </a:lnTo>
                                      <a:lnTo>
                                        <a:pt x="18" y="430"/>
                                      </a:lnTo>
                                      <a:lnTo>
                                        <a:pt x="11" y="439"/>
                                      </a:lnTo>
                                      <a:lnTo>
                                        <a:pt x="4" y="448"/>
                                      </a:lnTo>
                                      <a:lnTo>
                                        <a:pt x="0" y="458"/>
                                      </a:lnTo>
                                      <a:lnTo>
                                        <a:pt x="3" y="459"/>
                                      </a:lnTo>
                                      <a:lnTo>
                                        <a:pt x="6" y="460"/>
                                      </a:lnTo>
                                      <a:lnTo>
                                        <a:pt x="10" y="461"/>
                                      </a:lnTo>
                                      <a:lnTo>
                                        <a:pt x="33" y="464"/>
                                      </a:lnTo>
                                      <a:lnTo>
                                        <a:pt x="55" y="467"/>
                                      </a:lnTo>
                                      <a:lnTo>
                                        <a:pt x="78" y="468"/>
                                      </a:lnTo>
                                      <a:lnTo>
                                        <a:pt x="100" y="469"/>
                                      </a:lnTo>
                                      <a:lnTo>
                                        <a:pt x="171" y="464"/>
                                      </a:lnTo>
                                      <a:lnTo>
                                        <a:pt x="240" y="449"/>
                                      </a:lnTo>
                                      <a:lnTo>
                                        <a:pt x="306" y="425"/>
                                      </a:lnTo>
                                      <a:lnTo>
                                        <a:pt x="369" y="392"/>
                                      </a:lnTo>
                                      <a:lnTo>
                                        <a:pt x="426" y="352"/>
                                      </a:lnTo>
                                      <a:lnTo>
                                        <a:pt x="477" y="303"/>
                                      </a:lnTo>
                                      <a:lnTo>
                                        <a:pt x="522" y="247"/>
                                      </a:lnTo>
                                      <a:lnTo>
                                        <a:pt x="559" y="184"/>
                                      </a:lnTo>
                                      <a:lnTo>
                                        <a:pt x="587" y="115"/>
                                      </a:lnTo>
                                      <a:lnTo>
                                        <a:pt x="595" y="86"/>
                                      </a:lnTo>
                                      <a:lnTo>
                                        <a:pt x="602" y="57"/>
                                      </a:lnTo>
                                      <a:lnTo>
                                        <a:pt x="607" y="28"/>
                                      </a:lnTo>
                                      <a:lnTo>
                                        <a:pt x="610" y="0"/>
                                      </a:lnTo>
                                      <a:close/>
                                    </a:path>
                                  </a:pathLst>
                                </a:custGeom>
                                <a:solidFill>
                                  <a:srgbClr val="CBDB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F9757C4" id="Group 2" o:spid="_x0000_s1026" style="width:68pt;height:51.5pt;mso-position-horizontal-relative:char;mso-position-vertical-relative:line" coordsize="1751,2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">
                      <v:shape id="Freeform 31" o:spid="_x0000_s1027" style="position:absolute;top:1032;width:652;height:980;visibility:visible;mso-wrap-style:square;v-text-anchor:top" coordsize="6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" path="m512,l440,5,371,19,305,43,243,76r-57,41l134,165,90,221,53,284,25,353,6,427,,501r3,73l17,645r24,68l74,777r42,59l166,888r57,46l288,971r11,6l310,979r9,l339,975r16,-10l368,949r8,-18l426,777,412,752,399,725,387,698,377,670,359,596r-7,-75l356,448r14,-71l394,309r33,-63l468,187r50,-53l576,89,640,51r4,-1l647,48r4,-1l645,34,635,23,620,13,601,7,579,4,556,1,534,,512,xe" fillcolor="#00aeef" stroked="f">
                        <v:path arrowok="t" o:connecttype="custom" o:connectlocs="512,0;440,5;371,19;305,43;243,76;186,117;134,165;90,221;53,284;25,353;6,427;0,501;3,574;17,645;41,713;74,777;116,836;166,888;223,934;288,971;299,977;310,979;319,979;339,975;355,965;368,949;376,931;426,777;412,752;399,725;387,698;377,670;359,596;352,521;356,448;370,377;394,309;427,246;468,187;518,134;576,89;640,51;644,50;647,48;651,47;645,34;635,23;620,13;601,7;579,4;556,1;534,0;512,0"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top:1032;width:660;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">
                        <v:imagedata r:id="rId19" o:title=""/>
                      </v:shape>
                      <v:shape id="Freeform 33" o:spid="_x0000_s1029" style="position:absolute;left:426;top:1076;width:580;height:980;visibility:visible;mso-wrap-style:square;v-text-anchor:top" coordsize="58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" path="m258,l239,r-7,1l224,3r2,11l227,25r-2,12l222,48,,733r44,62l96,849r59,45l220,931r69,26l362,974r76,5l460,979r22,-2l504,975r23,-4l557,959r17,-21l579,913r-5,-26l524,733,498,721,472,707,446,692,422,675,363,626,314,570,274,508,244,442,224,373,213,302r-1,-72l221,159,241,88,271,20r2,-4l275,13r2,-3l268,4,258,xe" fillcolor="#00b8c6" stroked="f">
                        <v:path arrowok="t" o:connecttype="custom" o:connectlocs="258,0;239,0;232,1;224,3;226,14;227,25;225,37;222,48;0,733;44,795;96,849;155,894;220,931;289,957;362,974;438,979;460,979;482,977;504,975;527,971;557,959;574,938;579,913;574,887;524,733;498,721;472,707;446,692;422,675;363,626;314,570;274,508;244,442;224,373;213,302;212,230;221,159;241,88;271,20;273,16;275,13;277,10;268,4;258,0" o:connectangles="0,0,0,0,0,0,0,0,0,0,0,0,0,0,0,0,0,0,0,0,0,0,0,0,0,0,0,0,0,0,0,0,0,0,0,0,0,0,0,0,0,0,0,0"/>
                      </v:shape>
                      <v:shape id="Picture 34" o:spid="_x0000_s1030" type="#_x0000_t75" style="position:absolute;left:427;top:1076;width:580;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">
                        <v:imagedata r:id="rId20" o:title=""/>
                      </v:shape>
                      <v:shape id="Freeform 35" o:spid="_x0000_s1031" style="position:absolute;left:352;top:1079;width:302;height:730;visibility:visible;mso-wrap-style:square;v-text-anchor:top" coordsize="30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" path="m298,r-3,1l291,2r-3,2l223,41,166,87r-50,52l74,198,41,262,18,330,3,401,,474r6,74l24,622r11,28l46,678r13,26l74,729,296,44r3,-11l301,22,300,10,298,xe" fillcolor="#00abc5" stroked="f">
                        <v:path arrowok="t" o:connecttype="custom" o:connectlocs="298,0;295,1;291,2;288,4;223,41;166,87;116,139;74,198;41,262;18,330;3,401;0,474;6,548;24,622;35,650;46,678;59,704;74,729;296,44;299,33;301,22;300,10;298,0" o:connectangles="0,0,0,0,0,0,0,0,0,0,0,0,0,0,0,0,0,0,0,0,0,0,0"/>
                      </v:shape>
                      <v:group id="Group 36" o:spid="_x0000_s1032" style="position:absolute;left:704;top:1061;width:833;height:788" coordorigin="704,1061" coordsize="83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37" o:spid="_x0000_s1033" style="position:absolute;left:704;top:1061;width:833;height:788;visibility:visible;mso-wrap-style:square;v-text-anchor:top" coordsize="83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" path="m45,l33,1,21,5,10,13,,25r8,7l14,41r6,10l24,62,247,747r48,18l344,777r50,8l444,787r81,-6l604,761r76,-31l750,686r64,-56l831,602r1,-26l821,552,802,534,690,452r-136,l478,447,405,430,337,404,274,369,217,325,166,274,123,216,89,152,63,84,47,11r,-4l47,5,47,,45,xe" fillcolor="#6ac49c" stroked="f">
                          <v:path arrowok="t" o:connecttype="custom" o:connectlocs="45,0;33,1;21,5;10,13;0,25;8,32;14,41;20,51;24,62;247,747;295,765;344,777;394,785;444,787;525,781;604,761;680,730;750,686;814,630;831,602;832,576;821,552;802,534;690,452;554,452;478,447;405,430;337,404;274,369;217,325;166,274;123,216;89,152;63,84;47,11;47,7;47,5;47,0;45,0" o:connectangles="0,0,0,0,0,0,0,0,0,0,0,0,0,0,0,0,0,0,0,0,0,0,0,0,0,0,0,0,0,0,0,0,0,0,0,0,0,0,0"/>
                        </v:shape>
                        <v:shape id="Freeform 38" o:spid="_x0000_s1034" style="position:absolute;left:704;top:1061;width:833;height:788;visibility:visible;mso-wrap-style:square;v-text-anchor:top" coordsize="83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" path="m671,439r-28,6l614,449r-30,2l554,452r136,l671,439xe" fillcolor="#6ac49c" stroked="f">
                          <v:path arrowok="t" o:connecttype="custom" o:connectlocs="671,439;643,445;614,449;584,451;554,452;690,452;671,439" o:connectangles="0,0,0,0,0,0,0"/>
                        </v:shape>
                      </v:group>
                      <v:shape id="Picture 39" o:spid="_x0000_s1035" type="#_x0000_t75" style="position:absolute;left:704;top:1062;width:84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">
                        <v:imagedata r:id="rId21" o:title=""/>
                      </v:shape>
                      <v:shape id="Freeform 40" o:spid="_x0000_s1036" style="position:absolute;left:638;top:1087;width:313;height:723;visibility:visible;mso-wrap-style:square;v-text-anchor:top" coordsize="31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" path="m65,l63,2,61,6,59,9,29,77,9,148,,220r,72l11,363r21,69l62,497r40,62l151,615r58,49l234,681r26,15l286,710r26,12l90,37,85,26,80,16,73,7,65,xe" fillcolor="#00ad89" stroked="f">
                        <v:path arrowok="t" o:connecttype="custom" o:connectlocs="65,0;63,2;61,6;59,9;29,77;9,148;0,220;0,292;11,363;32,432;62,497;102,559;151,615;209,664;234,681;260,696;286,710;312,722;90,37;85,26;80,16;73,7;65,0" o:connectangles="0,0,0,0,0,0,0,0,0,0,0,0,0,0,0,0,0,0,0,0,0,0,0"/>
                      </v:shape>
                      <v:group id="Group 41" o:spid="_x0000_s1037" style="position:absolute;left:751;top:1001;width:999;height:500" coordorigin="751,1001" coordsize="9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42" o:spid="_x0000_s1038" style="position:absolute;left:751;top:1001;width:999;height:500;visibility:visible;mso-wrap-style:square;v-text-anchor:top" coordsize="9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" path="m23,11l13,20,6,30,1,44,,60r10,1l21,64r11,5l42,75,624,499r74,-24l767,441r62,-43l884,346r47,-60l969,220r17,-43l400,177r-82,-7l239,151,164,120,93,76,30,20,27,17,25,14,23,11xe" fillcolor="#afd46c" stroked="f">
                          <v:path arrowok="t" o:connecttype="custom" o:connectlocs="23,11;13,20;6,30;1,44;0,60;10,61;21,64;32,69;42,75;624,499;698,475;767,441;829,398;884,346;931,286;969,220;986,177;400,177;318,170;239,151;164,120;93,76;30,20;27,17;25,14;23,11" o:connectangles="0,0,0,0,0,0,0,0,0,0,0,0,0,0,0,0,0,0,0,0,0,0,0,0,0,0"/>
                        </v:shape>
                        <v:shape id="Freeform 43" o:spid="_x0000_s1039" style="position:absolute;left:751;top:1001;width:999;height:500;visibility:visible;mso-wrap-style:square;v-text-anchor:top" coordsize="9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" path="m786,l767,21,746,42,723,61,699,79r-70,43l554,153r-76,18l400,177r586,l997,148r1,-6l998,18r-1,-2l974,3,948,,786,xe" fillcolor="#afd46c" stroked="f">
                          <v:path arrowok="t" o:connecttype="custom" o:connectlocs="786,0;767,21;746,42;723,61;699,79;629,122;554,153;478,171;400,177;986,177;997,148;998,142;998,18;997,16;974,3;948,0;786,0" o:connectangles="0,0,0,0,0,0,0,0,0,0,0,0,0,0,0,0,0"/>
                        </v:shape>
                      </v:group>
                      <v:shape id="Picture 44" o:spid="_x0000_s1040" type="#_x0000_t75" style="position:absolute;left:751;top:1002;width:100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">
                        <v:imagedata r:id="rId22" o:title=""/>
                      </v:shape>
                      <v:shape id="Freeform 45" o:spid="_x0000_s1041" style="position:absolute;left:751;top:1061;width:625;height:453;visibility:visible;mso-wrap-style:square;v-text-anchor:top" coordsize="62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" path="m,l,4,,7r,4l16,84r25,68l76,216r43,58l170,325r57,43l290,404r68,26l431,447r76,5l537,451r30,-2l596,445r28,-6l42,15,32,9,21,4,10,1,,xe" fillcolor="#33b55d" stroked="f">
                        <v:path arrowok="t" o:connecttype="custom" o:connectlocs="0,0;0,4;0,7;0,11;16,84;41,152;76,216;119,274;170,325;227,368;290,404;358,430;431,447;507,452;537,451;567,449;596,445;624,439;42,15;32,9;21,4;10,1;0,0" o:connectangles="0,0,0,0,0,0,0,0,0,0,0,0,0,0,0,0,0,0,0,0,0,0,0"/>
                      </v:shape>
                      <v:group id="Group 46" o:spid="_x0000_s1042" style="position:absolute;left:762;top:391;width:900;height:622" coordorigin="762,391" coordsize="90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7" o:spid="_x0000_s1043" style="position:absolute;left:762;top:391;width:900;height:622;visibility:visible;mso-wrap-style:square;v-text-anchor:top" coordsize="90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" path="m2,569l,581r,13l4,607r8,14l21,616r11,-4l43,610r12,-1l776,609r22,-30l103,579r-23,l58,577,36,575,13,571r-4,l6,570,2,569xe" fillcolor="#e0e31c" stroked="f">
                          <v:path arrowok="t" o:connecttype="custom" o:connectlocs="2,569;0,581;0,594;4,607;12,621;21,616;32,612;43,610;55,609;776,609;798,579;103,579;80,579;58,577;36,575;13,571;9,571;6,570;2,569" o:connectangles="0,0,0,0,0,0,0,0,0,0,0,0,0,0,0,0,0,0,0"/>
                        </v:shape>
                        <v:shape id="Freeform 48" o:spid="_x0000_s1044" style="position:absolute;left:762;top:391;width:900;height:622;visibility:visible;mso-wrap-style:square;v-text-anchor:top" coordsize="90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" path="m776,609r-721,l775,609r1,xe" fillcolor="#e0e31c" stroked="f">
                          <v:path arrowok="t" o:connecttype="custom" o:connectlocs="776,609;55,609;775,609;776,609" o:connectangles="0,0,0,0"/>
                        </v:shape>
                        <v:shape id="Freeform 49" o:spid="_x0000_s1045" style="position:absolute;left:762;top:391;width:900;height:622;visibility:visible;mso-wrap-style:square;v-text-anchor:top" coordsize="90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" path="m787,l776,1,765,4,754,9r-10,6l613,110r-3,29l605,168r-7,29l590,226r-29,69l525,358r-45,56l429,462r-58,41l309,536r-66,24l174,574r-71,5l798,579r23,-32l857,479r25,-72l896,333r3,-76l891,181,871,106,839,34,828,18,815,8,801,1,787,xe" fillcolor="#e0e31c" stroked="f">
                          <v:path arrowok="t" o:connecttype="custom" o:connectlocs="787,0;776,1;765,4;754,9;744,15;613,110;610,139;605,168;598,197;590,226;561,295;525,358;480,414;429,462;371,503;309,536;243,560;174,574;103,579;798,579;821,547;857,479;882,407;896,333;899,257;891,181;871,106;839,34;828,18;815,8;801,1;787,0" o:connectangles="0,0,0,0,0,0,0,0,0,0,0,0,0,0,0,0,0,0,0,0,0,0,0,0,0,0,0,0,0,0,0,0"/>
                        </v:shape>
                      </v:group>
                      <v:shape id="Picture 50" o:spid="_x0000_s1046" type="#_x0000_t75" style="position:absolute;left:762;top:392;width:900;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">
                        <v:imagedata r:id="rId23" o:title=""/>
                      </v:shape>
                      <v:shape id="Freeform 51" o:spid="_x0000_s1047" style="position:absolute;left:774;top:1001;width:764;height:178;visibility:visible;mso-wrap-style:square;v-text-anchor:top" coordsize="76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" path="m43,l31,,20,2,9,6,,11r2,3l4,17r3,3l70,76r70,44l216,151r79,20l376,177r78,-6l531,153r75,-30l676,80,700,61,722,42,743,21,763,,43,xe" fillcolor="#9aca3c" stroked="f">
                        <v:path arrowok="t" o:connecttype="custom" o:connectlocs="43,0;31,0;20,2;9,6;0,11;2,14;4,17;7,20;70,76;140,120;216,151;295,171;376,177;454,171;531,153;606,123;676,80;700,61;722,42;743,21;763,0;43,0" o:connectangles="0,0,0,0,0,0,0,0,0,0,0,0,0,0,0,0,0,0,0,0,0,0"/>
                      </v:shape>
                      <v:shape id="Freeform 52" o:spid="_x0000_s1048" style="position:absolute;left:723;width:653;height:961;visibility:visible;mso-wrap-style:square;v-text-anchor:top" coordsize="65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" path="m365,l307,,297,6,285,21r-8,19l4,878,,903r3,23l16,946r25,14l45,950r7,-9l60,933r9,-8l651,502r1,-78l641,348,619,276,586,207,544,144,493,88,433,39,365,xe" fillcolor="#f9ec00" stroked="f">
                        <v:path arrowok="t" o:connecttype="custom" o:connectlocs="365,0;307,0;297,6;285,21;277,40;4,878;0,903;3,926;16,946;41,960;45,950;52,941;60,933;69,925;651,502;652,424;641,348;619,276;586,207;544,144;493,88;433,39;365,0" o:connectangles="0,0,0,0,0,0,0,0,0,0,0,0,0,0,0,0,0,0,0,0,0,0,0"/>
                      </v:shape>
                      <v:shape id="Freeform 53" o:spid="_x0000_s1049" style="position:absolute;left:765;top:502;width:611;height:470;visibility:visible;mso-wrap-style:square;v-text-anchor:top" coordsize="6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" path="m610,l27,423r-9,7l11,439r-7,9l,458r3,1l6,460r4,1l33,464r22,3l78,468r22,1l171,464r69,-15l306,425r63,-33l426,352r51,-49l522,247r37,-63l587,115r8,-29l602,57r5,-29l610,xe" fillcolor="#cbdb2a" stroked="f">
                        <v:path arrowok="t" o:connecttype="custom" o:connectlocs="610,0;27,423;18,430;11,439;4,448;0,458;3,459;6,460;10,461;33,464;55,467;78,468;100,469;171,464;240,449;306,425;369,392;426,352;477,303;522,247;559,184;587,115;595,86;602,57;607,28;610,0" o:connectangles="0,0,0,0,0,0,0,0,0,0,0,0,0,0,0,0,0,0,0,0,0,0,0,0,0,0"/>
                      </v:shape>
                      <w10:anchorlock/>
                    </v:group>
                  </w:pict>
                </mc:Fallback>
              </mc:AlternateContent>
            </w:r>
          </w:p>
          <w:p w14:paraId="3A45F923" w14:textId="795A6A2F" w:rsidR="00977168" w:rsidRDefault="004B0388" w:rsidP="009D5D6C">
            <w:pPr>
              <w:pStyle w:val="NoSpacing"/>
              <w:spacing w:before="240" w:after="120" w:line="22" w:lineRule="atLeast"/>
              <w:jc w:val="center"/>
              <w:rPr>
                <w:rFonts w:ascii="Arial" w:eastAsiaTheme="majorEastAsia" w:hAnsi="Arial" w:cs="Arial"/>
                <w:b/>
                <w:bCs/>
                <w:color w:val="009CA6"/>
                <w:sz w:val="28"/>
                <w:szCs w:val="28"/>
              </w:rPr>
            </w:pPr>
            <w:r w:rsidRPr="0055787E">
              <w:rPr>
                <w:rFonts w:ascii="Calibri Light" w:hAnsi="Calibri Light" w:cs="Calibri Light"/>
                <w:color w:val="808285"/>
                <w:sz w:val="20"/>
                <w:szCs w:val="20"/>
              </w:rPr>
              <w:t>The trusted voice of family and friends in mental health</w:t>
            </w:r>
          </w:p>
        </w:tc>
      </w:tr>
      <w:tr w:rsidR="00977168" w14:paraId="56AE6618" w14:textId="77777777" w:rsidTr="009D5D6C">
        <w:trPr>
          <w:trHeight w:val="1542"/>
        </w:trPr>
        <w:tc>
          <w:tcPr>
            <w:tcW w:w="4390" w:type="dxa"/>
            <w:vAlign w:val="center"/>
          </w:tcPr>
          <w:p w14:paraId="7CBB4081" w14:textId="77777777" w:rsidR="00977168" w:rsidRPr="0055787E" w:rsidRDefault="00977168" w:rsidP="009D5D6C">
            <w:pPr>
              <w:kinsoku w:val="0"/>
              <w:overflowPunct w:val="0"/>
              <w:autoSpaceDE w:val="0"/>
              <w:autoSpaceDN w:val="0"/>
              <w:adjustRightInd w:val="0"/>
              <w:spacing w:before="3" w:after="1"/>
              <w:jc w:val="center"/>
              <w:rPr>
                <w:rFonts w:ascii="Times New Roman" w:hAnsi="Times New Roman" w:cs="Times New Roman"/>
                <w:sz w:val="15"/>
                <w:szCs w:val="15"/>
              </w:rPr>
            </w:pPr>
          </w:p>
          <w:p w14:paraId="4DD4373F" w14:textId="36A87DA8" w:rsidR="00977168" w:rsidRPr="00977168" w:rsidRDefault="004B0388" w:rsidP="009D5D6C">
            <w:pPr>
              <w:kinsoku w:val="0"/>
              <w:overflowPunct w:val="0"/>
              <w:autoSpaceDE w:val="0"/>
              <w:autoSpaceDN w:val="0"/>
              <w:adjustRightInd w:val="0"/>
              <w:spacing w:before="105" w:line="237" w:lineRule="auto"/>
              <w:jc w:val="center"/>
              <w:rPr>
                <w:rFonts w:ascii="Calibri Light" w:hAnsi="Calibri Light" w:cs="Calibri Light"/>
                <w:color w:val="808285"/>
                <w:sz w:val="20"/>
                <w:szCs w:val="20"/>
              </w:rPr>
            </w:pPr>
            <w:r>
              <w:rPr>
                <w:noProof/>
              </w:rPr>
              <w:drawing>
                <wp:inline distT="0" distB="0" distL="0" distR="0" wp14:anchorId="78E96501" wp14:editId="2CD4C270">
                  <wp:extent cx="2609850" cy="55821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1569" cy="562863"/>
                          </a:xfrm>
                          <a:prstGeom prst="rect">
                            <a:avLst/>
                          </a:prstGeom>
                          <a:noFill/>
                          <a:ln>
                            <a:noFill/>
                          </a:ln>
                        </pic:spPr>
                      </pic:pic>
                    </a:graphicData>
                  </a:graphic>
                </wp:inline>
              </w:drawing>
            </w:r>
          </w:p>
        </w:tc>
        <w:tc>
          <w:tcPr>
            <w:tcW w:w="4626" w:type="dxa"/>
            <w:vAlign w:val="center"/>
          </w:tcPr>
          <w:p w14:paraId="10CE5563" w14:textId="39AD45A3" w:rsidR="00977168" w:rsidRDefault="00977168" w:rsidP="009D5D6C">
            <w:pPr>
              <w:pStyle w:val="NoSpacing"/>
              <w:spacing w:before="240" w:after="120" w:line="22" w:lineRule="atLeast"/>
              <w:jc w:val="center"/>
              <w:rPr>
                <w:rFonts w:ascii="Arial" w:eastAsiaTheme="majorEastAsia" w:hAnsi="Arial" w:cs="Arial"/>
                <w:b/>
                <w:bCs/>
                <w:color w:val="009CA6"/>
                <w:sz w:val="28"/>
                <w:szCs w:val="28"/>
              </w:rPr>
            </w:pPr>
            <w:r>
              <w:rPr>
                <w:noProof/>
              </w:rPr>
              <w:drawing>
                <wp:inline distT="0" distB="0" distL="0" distR="0" wp14:anchorId="475542D9" wp14:editId="1D3E9EFA">
                  <wp:extent cx="2669385" cy="55289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DV logo.png"/>
                          <pic:cNvPicPr/>
                        </pic:nvPicPr>
                        <pic:blipFill>
                          <a:blip r:embed="rId25">
                            <a:extLst>
                              <a:ext uri="{28A0092B-C50C-407E-A947-70E740481C1C}">
                                <a14:useLocalDpi xmlns:a14="http://schemas.microsoft.com/office/drawing/2010/main" val="0"/>
                              </a:ext>
                            </a:extLst>
                          </a:blip>
                          <a:stretch>
                            <a:fillRect/>
                          </a:stretch>
                        </pic:blipFill>
                        <pic:spPr>
                          <a:xfrm>
                            <a:off x="0" y="0"/>
                            <a:ext cx="2955748" cy="612206"/>
                          </a:xfrm>
                          <a:prstGeom prst="rect">
                            <a:avLst/>
                          </a:prstGeom>
                        </pic:spPr>
                      </pic:pic>
                    </a:graphicData>
                  </a:graphic>
                </wp:inline>
              </w:drawing>
            </w:r>
          </w:p>
        </w:tc>
      </w:tr>
      <w:tr w:rsidR="00977168" w14:paraId="2FBEC06C" w14:textId="77777777" w:rsidTr="009D5D6C">
        <w:trPr>
          <w:trHeight w:val="1547"/>
        </w:trPr>
        <w:tc>
          <w:tcPr>
            <w:tcW w:w="4390" w:type="dxa"/>
            <w:vAlign w:val="center"/>
          </w:tcPr>
          <w:p w14:paraId="7B8F8A38" w14:textId="46BC6B21" w:rsidR="00977168" w:rsidRDefault="004B0388" w:rsidP="009D5D6C">
            <w:pPr>
              <w:pStyle w:val="NoSpacing"/>
              <w:spacing w:before="240" w:after="120" w:line="22" w:lineRule="atLeast"/>
              <w:jc w:val="center"/>
              <w:rPr>
                <w:rFonts w:ascii="Arial" w:eastAsiaTheme="majorEastAsia" w:hAnsi="Arial" w:cs="Arial"/>
                <w:b/>
                <w:bCs/>
                <w:color w:val="009CA6"/>
                <w:sz w:val="28"/>
                <w:szCs w:val="28"/>
              </w:rPr>
            </w:pPr>
            <w:r>
              <w:rPr>
                <w:noProof/>
              </w:rPr>
              <w:drawing>
                <wp:inline distT="0" distB="0" distL="0" distR="0" wp14:anchorId="4566AEF3" wp14:editId="0F527194">
                  <wp:extent cx="2162175" cy="6762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2175" cy="676275"/>
                          </a:xfrm>
                          <a:prstGeom prst="rect">
                            <a:avLst/>
                          </a:prstGeom>
                          <a:noFill/>
                          <a:ln>
                            <a:noFill/>
                          </a:ln>
                        </pic:spPr>
                      </pic:pic>
                    </a:graphicData>
                  </a:graphic>
                </wp:inline>
              </w:drawing>
            </w:r>
          </w:p>
        </w:tc>
        <w:tc>
          <w:tcPr>
            <w:tcW w:w="4626" w:type="dxa"/>
            <w:vAlign w:val="center"/>
          </w:tcPr>
          <w:p w14:paraId="12966C20" w14:textId="75F739DE" w:rsidR="00977168" w:rsidRDefault="004B0388" w:rsidP="009D5D6C">
            <w:pPr>
              <w:pStyle w:val="NoSpacing"/>
              <w:spacing w:before="240" w:after="120" w:line="22" w:lineRule="atLeast"/>
              <w:jc w:val="center"/>
              <w:rPr>
                <w:rFonts w:ascii="Arial" w:eastAsiaTheme="majorEastAsia" w:hAnsi="Arial" w:cs="Arial"/>
                <w:b/>
                <w:bCs/>
                <w:color w:val="009CA6"/>
                <w:sz w:val="28"/>
                <w:szCs w:val="28"/>
              </w:rPr>
            </w:pPr>
            <w:r>
              <w:rPr>
                <w:noProof/>
              </w:rPr>
              <w:drawing>
                <wp:inline distT="0" distB="0" distL="0" distR="0" wp14:anchorId="2873FBBA" wp14:editId="048CCEA3">
                  <wp:extent cx="2792117" cy="866775"/>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8946" cy="868895"/>
                          </a:xfrm>
                          <a:prstGeom prst="rect">
                            <a:avLst/>
                          </a:prstGeom>
                          <a:noFill/>
                          <a:ln>
                            <a:noFill/>
                          </a:ln>
                        </pic:spPr>
                      </pic:pic>
                    </a:graphicData>
                  </a:graphic>
                </wp:inline>
              </w:drawing>
            </w:r>
          </w:p>
        </w:tc>
      </w:tr>
      <w:tr w:rsidR="009D5D6C" w14:paraId="28A64407" w14:textId="77777777" w:rsidTr="009D5D6C">
        <w:trPr>
          <w:trHeight w:val="1292"/>
        </w:trPr>
        <w:tc>
          <w:tcPr>
            <w:tcW w:w="4390" w:type="dxa"/>
            <w:vAlign w:val="center"/>
          </w:tcPr>
          <w:p w14:paraId="68A74C56" w14:textId="1E395E96" w:rsidR="009D5D6C" w:rsidRDefault="009D5D6C" w:rsidP="009D5D6C">
            <w:pPr>
              <w:pStyle w:val="NoSpacing"/>
              <w:spacing w:before="240" w:after="120" w:line="22" w:lineRule="atLeast"/>
              <w:jc w:val="center"/>
              <w:rPr>
                <w:noProof/>
              </w:rPr>
            </w:pPr>
            <w:r>
              <w:rPr>
                <w:b/>
                <w:noProof/>
                <w:sz w:val="28"/>
                <w:szCs w:val="28"/>
              </w:rPr>
              <w:drawing>
                <wp:inline distT="0" distB="0" distL="0" distR="0" wp14:anchorId="19EE5252" wp14:editId="3FAFEAE2">
                  <wp:extent cx="1116419" cy="880251"/>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N_LOGO2014_CMYK_STACKED_TAGLINE (0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74038" cy="925681"/>
                          </a:xfrm>
                          <a:prstGeom prst="rect">
                            <a:avLst/>
                          </a:prstGeom>
                        </pic:spPr>
                      </pic:pic>
                    </a:graphicData>
                  </a:graphic>
                </wp:inline>
              </w:drawing>
            </w:r>
          </w:p>
        </w:tc>
        <w:tc>
          <w:tcPr>
            <w:tcW w:w="4626" w:type="dxa"/>
            <w:vAlign w:val="center"/>
          </w:tcPr>
          <w:p w14:paraId="75285DE0" w14:textId="1647BAFC" w:rsidR="009D5D6C" w:rsidRDefault="009D5D6C" w:rsidP="009D5D6C">
            <w:pPr>
              <w:pStyle w:val="NoSpacing"/>
              <w:spacing w:before="240" w:after="120" w:line="22" w:lineRule="atLeast"/>
              <w:jc w:val="center"/>
              <w:rPr>
                <w:noProof/>
              </w:rPr>
            </w:pPr>
            <w:r>
              <w:rPr>
                <w:noProof/>
              </w:rPr>
              <w:drawing>
                <wp:inline distT="0" distB="0" distL="0" distR="0" wp14:anchorId="58DD220C" wp14:editId="092985B2">
                  <wp:extent cx="1892595" cy="775964"/>
                  <wp:effectExtent l="0" t="0" r="0" b="5715"/>
                  <wp:docPr id="59"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 clip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963504" cy="805037"/>
                          </a:xfrm>
                          <a:prstGeom prst="rect">
                            <a:avLst/>
                          </a:prstGeom>
                        </pic:spPr>
                      </pic:pic>
                    </a:graphicData>
                  </a:graphic>
                </wp:inline>
              </w:drawing>
            </w:r>
          </w:p>
        </w:tc>
      </w:tr>
    </w:tbl>
    <w:p w14:paraId="43536D69" w14:textId="77777777" w:rsidR="001702F7" w:rsidRDefault="001702F7" w:rsidP="004B0388">
      <w:pPr>
        <w:pStyle w:val="NoSpacing"/>
        <w:spacing w:before="240" w:after="120" w:line="22" w:lineRule="atLeast"/>
        <w:rPr>
          <w:rFonts w:ascii="Arial" w:eastAsiaTheme="majorEastAsia" w:hAnsi="Arial" w:cs="Arial"/>
          <w:b/>
          <w:bCs/>
          <w:color w:val="009CA6"/>
          <w:sz w:val="28"/>
          <w:szCs w:val="28"/>
        </w:rPr>
      </w:pPr>
    </w:p>
    <w:sdt>
      <w:sdtPr>
        <w:rPr>
          <w:rFonts w:asciiTheme="minorHAnsi" w:eastAsiaTheme="minorHAnsi" w:hAnsiTheme="minorHAnsi" w:cstheme="minorBidi"/>
          <w:color w:val="auto"/>
          <w:sz w:val="22"/>
          <w:szCs w:val="22"/>
          <w:lang w:val="en-AU"/>
        </w:rPr>
        <w:id w:val="-1411223008"/>
        <w:docPartObj>
          <w:docPartGallery w:val="Table of Contents"/>
          <w:docPartUnique/>
        </w:docPartObj>
      </w:sdtPr>
      <w:sdtEndPr>
        <w:rPr>
          <w:b/>
          <w:bCs/>
          <w:noProof/>
        </w:rPr>
      </w:sdtEndPr>
      <w:sdtContent>
        <w:p w14:paraId="6450E500" w14:textId="082AC2EA" w:rsidR="00943202" w:rsidRPr="00B43B5C" w:rsidRDefault="00943202" w:rsidP="00F46DFA">
          <w:pPr>
            <w:pStyle w:val="TOCHeading"/>
            <w:spacing w:after="240"/>
            <w:jc w:val="both"/>
            <w:rPr>
              <w:rFonts w:ascii="Arial" w:hAnsi="Arial" w:cs="Arial"/>
              <w:b/>
              <w:bCs/>
              <w:color w:val="ED7D31" w:themeColor="accent2"/>
              <w:sz w:val="28"/>
              <w:szCs w:val="28"/>
            </w:rPr>
          </w:pPr>
          <w:r w:rsidRPr="00B43B5C">
            <w:rPr>
              <w:rFonts w:ascii="Arial" w:hAnsi="Arial" w:cs="Arial"/>
              <w:b/>
              <w:bCs/>
              <w:color w:val="ED7D31" w:themeColor="accent2"/>
              <w:sz w:val="28"/>
              <w:szCs w:val="28"/>
            </w:rPr>
            <w:t>Contents</w:t>
          </w:r>
        </w:p>
        <w:p w14:paraId="7C231247" w14:textId="6AA210A6" w:rsidR="009B4C1E" w:rsidRDefault="00F46DFA">
          <w:pPr>
            <w:pStyle w:val="TOC1"/>
            <w:rPr>
              <w:rFonts w:asciiTheme="minorHAnsi" w:eastAsiaTheme="minorEastAsia" w:hAnsiTheme="minorHAnsi"/>
              <w:b w:val="0"/>
              <w:lang w:eastAsia="en-AU"/>
            </w:rPr>
          </w:pPr>
          <w:r>
            <w:rPr>
              <w:rFonts w:cs="Arial"/>
              <w:b w:val="0"/>
            </w:rPr>
            <w:fldChar w:fldCharType="begin"/>
          </w:r>
          <w:r>
            <w:rPr>
              <w:rFonts w:cs="Arial"/>
              <w:b w:val="0"/>
            </w:rPr>
            <w:instrText xml:space="preserve"> TOC \o "1-2" \h \z \u </w:instrText>
          </w:r>
          <w:r>
            <w:rPr>
              <w:rFonts w:cs="Arial"/>
              <w:b w:val="0"/>
            </w:rPr>
            <w:fldChar w:fldCharType="separate"/>
          </w:r>
          <w:hyperlink w:anchor="_Toc59045873" w:history="1">
            <w:r w:rsidR="009B4C1E" w:rsidRPr="00B33A13">
              <w:rPr>
                <w:rStyle w:val="Hyperlink"/>
              </w:rPr>
              <w:t>Executive summary</w:t>
            </w:r>
            <w:r w:rsidR="009B4C1E">
              <w:rPr>
                <w:webHidden/>
              </w:rPr>
              <w:tab/>
            </w:r>
            <w:r w:rsidR="009B4C1E">
              <w:rPr>
                <w:webHidden/>
              </w:rPr>
              <w:fldChar w:fldCharType="begin"/>
            </w:r>
            <w:r w:rsidR="009B4C1E">
              <w:rPr>
                <w:webHidden/>
              </w:rPr>
              <w:instrText xml:space="preserve"> PAGEREF _Toc59045873 \h </w:instrText>
            </w:r>
            <w:r w:rsidR="009B4C1E">
              <w:rPr>
                <w:webHidden/>
              </w:rPr>
            </w:r>
            <w:r w:rsidR="009B4C1E">
              <w:rPr>
                <w:webHidden/>
              </w:rPr>
              <w:fldChar w:fldCharType="separate"/>
            </w:r>
            <w:r w:rsidR="0096252A">
              <w:rPr>
                <w:webHidden/>
              </w:rPr>
              <w:t>3</w:t>
            </w:r>
            <w:r w:rsidR="009B4C1E">
              <w:rPr>
                <w:webHidden/>
              </w:rPr>
              <w:fldChar w:fldCharType="end"/>
            </w:r>
          </w:hyperlink>
        </w:p>
        <w:p w14:paraId="688120F5" w14:textId="48E9BEE9" w:rsidR="009B4C1E" w:rsidRPr="009B4C1E" w:rsidRDefault="009D5D6C">
          <w:pPr>
            <w:pStyle w:val="TOC2"/>
            <w:tabs>
              <w:tab w:val="right" w:leader="dot" w:pos="9016"/>
            </w:tabs>
            <w:rPr>
              <w:rFonts w:asciiTheme="minorHAnsi" w:eastAsiaTheme="minorEastAsia" w:hAnsiTheme="minorHAnsi"/>
              <w:noProof/>
              <w:color w:val="auto"/>
              <w:lang w:eastAsia="en-AU"/>
            </w:rPr>
          </w:pPr>
          <w:hyperlink w:anchor="_Toc59045874" w:history="1">
            <w:r w:rsidR="009B4C1E" w:rsidRPr="009B4C1E">
              <w:rPr>
                <w:rStyle w:val="Hyperlink"/>
                <w:noProof/>
                <w:lang w:eastAsia="en-AU"/>
              </w:rPr>
              <w:t>Principles</w:t>
            </w:r>
            <w:r w:rsidR="009B4C1E" w:rsidRPr="009B4C1E">
              <w:rPr>
                <w:noProof/>
                <w:webHidden/>
              </w:rPr>
              <w:tab/>
            </w:r>
            <w:r w:rsidR="009B4C1E" w:rsidRPr="009B4C1E">
              <w:rPr>
                <w:noProof/>
                <w:webHidden/>
              </w:rPr>
              <w:fldChar w:fldCharType="begin"/>
            </w:r>
            <w:r w:rsidR="009B4C1E" w:rsidRPr="009B4C1E">
              <w:rPr>
                <w:noProof/>
                <w:webHidden/>
              </w:rPr>
              <w:instrText xml:space="preserve"> PAGEREF _Toc59045874 \h </w:instrText>
            </w:r>
            <w:r w:rsidR="009B4C1E" w:rsidRPr="009B4C1E">
              <w:rPr>
                <w:noProof/>
                <w:webHidden/>
              </w:rPr>
            </w:r>
            <w:r w:rsidR="009B4C1E" w:rsidRPr="009B4C1E">
              <w:rPr>
                <w:noProof/>
                <w:webHidden/>
              </w:rPr>
              <w:fldChar w:fldCharType="separate"/>
            </w:r>
            <w:r w:rsidR="0096252A">
              <w:rPr>
                <w:noProof/>
                <w:webHidden/>
              </w:rPr>
              <w:t>5</w:t>
            </w:r>
            <w:r w:rsidR="009B4C1E" w:rsidRPr="009B4C1E">
              <w:rPr>
                <w:noProof/>
                <w:webHidden/>
              </w:rPr>
              <w:fldChar w:fldCharType="end"/>
            </w:r>
          </w:hyperlink>
        </w:p>
        <w:p w14:paraId="3CDA37E3" w14:textId="283AC7BE" w:rsidR="009B4C1E" w:rsidRPr="009B4C1E" w:rsidRDefault="009D5D6C">
          <w:pPr>
            <w:pStyle w:val="TOC2"/>
            <w:tabs>
              <w:tab w:val="right" w:leader="dot" w:pos="9016"/>
            </w:tabs>
            <w:rPr>
              <w:rFonts w:asciiTheme="minorHAnsi" w:eastAsiaTheme="minorEastAsia" w:hAnsiTheme="minorHAnsi"/>
              <w:noProof/>
              <w:color w:val="auto"/>
              <w:lang w:eastAsia="en-AU"/>
            </w:rPr>
          </w:pPr>
          <w:hyperlink w:anchor="_Toc59045875" w:history="1">
            <w:r w:rsidR="009B4C1E" w:rsidRPr="009B4C1E">
              <w:rPr>
                <w:rStyle w:val="Hyperlink"/>
                <w:noProof/>
                <w:lang w:eastAsia="en-AU"/>
              </w:rPr>
              <w:t>Summary of recommendations</w:t>
            </w:r>
            <w:r w:rsidR="009B4C1E" w:rsidRPr="009B4C1E">
              <w:rPr>
                <w:noProof/>
                <w:webHidden/>
              </w:rPr>
              <w:tab/>
            </w:r>
            <w:r w:rsidR="009B4C1E" w:rsidRPr="009B4C1E">
              <w:rPr>
                <w:noProof/>
                <w:webHidden/>
              </w:rPr>
              <w:fldChar w:fldCharType="begin"/>
            </w:r>
            <w:r w:rsidR="009B4C1E" w:rsidRPr="009B4C1E">
              <w:rPr>
                <w:noProof/>
                <w:webHidden/>
              </w:rPr>
              <w:instrText xml:space="preserve"> PAGEREF _Toc59045875 \h </w:instrText>
            </w:r>
            <w:r w:rsidR="009B4C1E" w:rsidRPr="009B4C1E">
              <w:rPr>
                <w:noProof/>
                <w:webHidden/>
              </w:rPr>
            </w:r>
            <w:r w:rsidR="009B4C1E" w:rsidRPr="009B4C1E">
              <w:rPr>
                <w:noProof/>
                <w:webHidden/>
              </w:rPr>
              <w:fldChar w:fldCharType="separate"/>
            </w:r>
            <w:r w:rsidR="0096252A">
              <w:rPr>
                <w:noProof/>
                <w:webHidden/>
              </w:rPr>
              <w:t>7</w:t>
            </w:r>
            <w:r w:rsidR="009B4C1E" w:rsidRPr="009B4C1E">
              <w:rPr>
                <w:noProof/>
                <w:webHidden/>
              </w:rPr>
              <w:fldChar w:fldCharType="end"/>
            </w:r>
          </w:hyperlink>
        </w:p>
        <w:p w14:paraId="1A9ED3FD" w14:textId="0D1AF3BB" w:rsidR="009B4C1E" w:rsidRDefault="009D5D6C">
          <w:pPr>
            <w:pStyle w:val="TOC1"/>
            <w:rPr>
              <w:rFonts w:asciiTheme="minorHAnsi" w:eastAsiaTheme="minorEastAsia" w:hAnsiTheme="minorHAnsi"/>
              <w:b w:val="0"/>
              <w:lang w:eastAsia="en-AU"/>
            </w:rPr>
          </w:pPr>
          <w:hyperlink w:anchor="_Toc59045876" w:history="1">
            <w:r w:rsidR="009B4C1E" w:rsidRPr="00B33A13">
              <w:rPr>
                <w:rStyle w:val="Hyperlink"/>
              </w:rPr>
              <w:t>Mental health</w:t>
            </w:r>
            <w:r w:rsidR="009B4C1E">
              <w:rPr>
                <w:webHidden/>
              </w:rPr>
              <w:tab/>
            </w:r>
            <w:r w:rsidR="009B4C1E">
              <w:rPr>
                <w:webHidden/>
              </w:rPr>
              <w:fldChar w:fldCharType="begin"/>
            </w:r>
            <w:r w:rsidR="009B4C1E">
              <w:rPr>
                <w:webHidden/>
              </w:rPr>
              <w:instrText xml:space="preserve"> PAGEREF _Toc59045876 \h </w:instrText>
            </w:r>
            <w:r w:rsidR="009B4C1E">
              <w:rPr>
                <w:webHidden/>
              </w:rPr>
            </w:r>
            <w:r w:rsidR="009B4C1E">
              <w:rPr>
                <w:webHidden/>
              </w:rPr>
              <w:fldChar w:fldCharType="separate"/>
            </w:r>
            <w:r w:rsidR="0096252A">
              <w:rPr>
                <w:webHidden/>
              </w:rPr>
              <w:t>9</w:t>
            </w:r>
            <w:r w:rsidR="009B4C1E">
              <w:rPr>
                <w:webHidden/>
              </w:rPr>
              <w:fldChar w:fldCharType="end"/>
            </w:r>
          </w:hyperlink>
        </w:p>
        <w:p w14:paraId="5A374030" w14:textId="023AFED2" w:rsidR="009B4C1E" w:rsidRPr="009B4C1E" w:rsidRDefault="009D5D6C">
          <w:pPr>
            <w:pStyle w:val="TOC2"/>
            <w:tabs>
              <w:tab w:val="right" w:leader="dot" w:pos="9016"/>
            </w:tabs>
            <w:rPr>
              <w:rFonts w:asciiTheme="minorHAnsi" w:eastAsiaTheme="minorEastAsia" w:hAnsiTheme="minorHAnsi"/>
              <w:noProof/>
              <w:color w:val="auto"/>
              <w:lang w:eastAsia="en-AU"/>
            </w:rPr>
          </w:pPr>
          <w:hyperlink w:anchor="_Toc59045877" w:history="1">
            <w:r w:rsidR="009B4C1E" w:rsidRPr="009B4C1E">
              <w:rPr>
                <w:rStyle w:val="Hyperlink"/>
                <w:rFonts w:eastAsiaTheme="majorEastAsia" w:cstheme="majorBidi"/>
                <w:noProof/>
                <w:lang w:eastAsia="en-AU"/>
              </w:rPr>
              <w:t>Overview</w:t>
            </w:r>
            <w:r w:rsidR="009B4C1E" w:rsidRPr="009B4C1E">
              <w:rPr>
                <w:noProof/>
                <w:webHidden/>
              </w:rPr>
              <w:tab/>
            </w:r>
            <w:r w:rsidR="009B4C1E" w:rsidRPr="009B4C1E">
              <w:rPr>
                <w:noProof/>
                <w:webHidden/>
              </w:rPr>
              <w:fldChar w:fldCharType="begin"/>
            </w:r>
            <w:r w:rsidR="009B4C1E" w:rsidRPr="009B4C1E">
              <w:rPr>
                <w:noProof/>
                <w:webHidden/>
              </w:rPr>
              <w:instrText xml:space="preserve"> PAGEREF _Toc59045877 \h </w:instrText>
            </w:r>
            <w:r w:rsidR="009B4C1E" w:rsidRPr="009B4C1E">
              <w:rPr>
                <w:noProof/>
                <w:webHidden/>
              </w:rPr>
            </w:r>
            <w:r w:rsidR="009B4C1E" w:rsidRPr="009B4C1E">
              <w:rPr>
                <w:noProof/>
                <w:webHidden/>
              </w:rPr>
              <w:fldChar w:fldCharType="separate"/>
            </w:r>
            <w:r w:rsidR="0096252A">
              <w:rPr>
                <w:noProof/>
                <w:webHidden/>
              </w:rPr>
              <w:t>9</w:t>
            </w:r>
            <w:r w:rsidR="009B4C1E" w:rsidRPr="009B4C1E">
              <w:rPr>
                <w:noProof/>
                <w:webHidden/>
              </w:rPr>
              <w:fldChar w:fldCharType="end"/>
            </w:r>
          </w:hyperlink>
        </w:p>
        <w:p w14:paraId="14A662E2" w14:textId="55B79D2C" w:rsidR="009B4C1E" w:rsidRPr="009B4C1E" w:rsidRDefault="009D5D6C">
          <w:pPr>
            <w:pStyle w:val="TOC2"/>
            <w:tabs>
              <w:tab w:val="right" w:leader="dot" w:pos="9016"/>
            </w:tabs>
            <w:rPr>
              <w:rFonts w:asciiTheme="minorHAnsi" w:eastAsiaTheme="minorEastAsia" w:hAnsiTheme="minorHAnsi"/>
              <w:noProof/>
              <w:color w:val="auto"/>
              <w:lang w:eastAsia="en-AU"/>
            </w:rPr>
          </w:pPr>
          <w:hyperlink w:anchor="_Toc59045878" w:history="1">
            <w:r w:rsidR="009B4C1E" w:rsidRPr="009B4C1E">
              <w:rPr>
                <w:rStyle w:val="Hyperlink"/>
                <w:rFonts w:eastAsiaTheme="majorEastAsia" w:cs="Arial"/>
                <w:noProof/>
              </w:rPr>
              <w:t>Mental health issues affecting young women</w:t>
            </w:r>
            <w:r w:rsidR="009B4C1E" w:rsidRPr="009B4C1E">
              <w:rPr>
                <w:noProof/>
                <w:webHidden/>
              </w:rPr>
              <w:tab/>
            </w:r>
            <w:r w:rsidR="009B4C1E" w:rsidRPr="009B4C1E">
              <w:rPr>
                <w:noProof/>
                <w:webHidden/>
              </w:rPr>
              <w:fldChar w:fldCharType="begin"/>
            </w:r>
            <w:r w:rsidR="009B4C1E" w:rsidRPr="009B4C1E">
              <w:rPr>
                <w:noProof/>
                <w:webHidden/>
              </w:rPr>
              <w:instrText xml:space="preserve"> PAGEREF _Toc59045878 \h </w:instrText>
            </w:r>
            <w:r w:rsidR="009B4C1E" w:rsidRPr="009B4C1E">
              <w:rPr>
                <w:noProof/>
                <w:webHidden/>
              </w:rPr>
            </w:r>
            <w:r w:rsidR="009B4C1E" w:rsidRPr="009B4C1E">
              <w:rPr>
                <w:noProof/>
                <w:webHidden/>
              </w:rPr>
              <w:fldChar w:fldCharType="separate"/>
            </w:r>
            <w:r w:rsidR="0096252A">
              <w:rPr>
                <w:noProof/>
                <w:webHidden/>
              </w:rPr>
              <w:t>13</w:t>
            </w:r>
            <w:r w:rsidR="009B4C1E" w:rsidRPr="009B4C1E">
              <w:rPr>
                <w:noProof/>
                <w:webHidden/>
              </w:rPr>
              <w:fldChar w:fldCharType="end"/>
            </w:r>
          </w:hyperlink>
        </w:p>
        <w:p w14:paraId="4E2C2BBA" w14:textId="56713BA8" w:rsidR="009B4C1E" w:rsidRPr="009B4C1E" w:rsidRDefault="009D5D6C">
          <w:pPr>
            <w:pStyle w:val="TOC2"/>
            <w:tabs>
              <w:tab w:val="right" w:leader="dot" w:pos="9016"/>
            </w:tabs>
            <w:rPr>
              <w:rFonts w:asciiTheme="minorHAnsi" w:eastAsiaTheme="minorEastAsia" w:hAnsiTheme="minorHAnsi"/>
              <w:noProof/>
              <w:color w:val="auto"/>
              <w:lang w:eastAsia="en-AU"/>
            </w:rPr>
          </w:pPr>
          <w:hyperlink w:anchor="_Toc59045879" w:history="1">
            <w:r w:rsidR="009B4C1E" w:rsidRPr="009B4C1E">
              <w:rPr>
                <w:rStyle w:val="Hyperlink"/>
                <w:rFonts w:eastAsiaTheme="majorEastAsia" w:cs="Arial"/>
                <w:noProof/>
              </w:rPr>
              <w:t>Recommendations to support young women’s mental health</w:t>
            </w:r>
            <w:r w:rsidR="009B4C1E" w:rsidRPr="009B4C1E">
              <w:rPr>
                <w:noProof/>
                <w:webHidden/>
              </w:rPr>
              <w:tab/>
            </w:r>
            <w:r w:rsidR="009B4C1E" w:rsidRPr="009B4C1E">
              <w:rPr>
                <w:noProof/>
                <w:webHidden/>
              </w:rPr>
              <w:fldChar w:fldCharType="begin"/>
            </w:r>
            <w:r w:rsidR="009B4C1E" w:rsidRPr="009B4C1E">
              <w:rPr>
                <w:noProof/>
                <w:webHidden/>
              </w:rPr>
              <w:instrText xml:space="preserve"> PAGEREF _Toc59045879 \h </w:instrText>
            </w:r>
            <w:r w:rsidR="009B4C1E" w:rsidRPr="009B4C1E">
              <w:rPr>
                <w:noProof/>
                <w:webHidden/>
              </w:rPr>
            </w:r>
            <w:r w:rsidR="009B4C1E" w:rsidRPr="009B4C1E">
              <w:rPr>
                <w:noProof/>
                <w:webHidden/>
              </w:rPr>
              <w:fldChar w:fldCharType="separate"/>
            </w:r>
            <w:r w:rsidR="0096252A">
              <w:rPr>
                <w:noProof/>
                <w:webHidden/>
              </w:rPr>
              <w:t>22</w:t>
            </w:r>
            <w:r w:rsidR="009B4C1E" w:rsidRPr="009B4C1E">
              <w:rPr>
                <w:noProof/>
                <w:webHidden/>
              </w:rPr>
              <w:fldChar w:fldCharType="end"/>
            </w:r>
          </w:hyperlink>
        </w:p>
        <w:p w14:paraId="0F965E2F" w14:textId="189833FD" w:rsidR="009B4C1E" w:rsidRDefault="009D5D6C">
          <w:pPr>
            <w:pStyle w:val="TOC1"/>
            <w:rPr>
              <w:rFonts w:asciiTheme="minorHAnsi" w:eastAsiaTheme="minorEastAsia" w:hAnsiTheme="minorHAnsi"/>
              <w:b w:val="0"/>
              <w:lang w:eastAsia="en-AU"/>
            </w:rPr>
          </w:pPr>
          <w:hyperlink w:anchor="_Toc59045880" w:history="1">
            <w:r w:rsidR="009B4C1E" w:rsidRPr="00B33A13">
              <w:rPr>
                <w:rStyle w:val="Hyperlink"/>
              </w:rPr>
              <w:t>Physical health</w:t>
            </w:r>
            <w:r w:rsidR="009B4C1E">
              <w:rPr>
                <w:webHidden/>
              </w:rPr>
              <w:tab/>
            </w:r>
            <w:r w:rsidR="009B4C1E">
              <w:rPr>
                <w:webHidden/>
              </w:rPr>
              <w:fldChar w:fldCharType="begin"/>
            </w:r>
            <w:r w:rsidR="009B4C1E">
              <w:rPr>
                <w:webHidden/>
              </w:rPr>
              <w:instrText xml:space="preserve"> PAGEREF _Toc59045880 \h </w:instrText>
            </w:r>
            <w:r w:rsidR="009B4C1E">
              <w:rPr>
                <w:webHidden/>
              </w:rPr>
            </w:r>
            <w:r w:rsidR="009B4C1E">
              <w:rPr>
                <w:webHidden/>
              </w:rPr>
              <w:fldChar w:fldCharType="separate"/>
            </w:r>
            <w:r w:rsidR="0096252A">
              <w:rPr>
                <w:webHidden/>
              </w:rPr>
              <w:t>25</w:t>
            </w:r>
            <w:r w:rsidR="009B4C1E">
              <w:rPr>
                <w:webHidden/>
              </w:rPr>
              <w:fldChar w:fldCharType="end"/>
            </w:r>
          </w:hyperlink>
        </w:p>
        <w:p w14:paraId="16A7DBDC" w14:textId="3B5B0B79" w:rsidR="009B4C1E" w:rsidRPr="009B4C1E" w:rsidRDefault="009D5D6C">
          <w:pPr>
            <w:pStyle w:val="TOC2"/>
            <w:tabs>
              <w:tab w:val="right" w:leader="dot" w:pos="9016"/>
            </w:tabs>
            <w:rPr>
              <w:rFonts w:asciiTheme="minorHAnsi" w:eastAsiaTheme="minorEastAsia" w:hAnsiTheme="minorHAnsi"/>
              <w:noProof/>
              <w:color w:val="auto"/>
              <w:lang w:eastAsia="en-AU"/>
            </w:rPr>
          </w:pPr>
          <w:hyperlink w:anchor="_Toc59045881" w:history="1">
            <w:r w:rsidR="009B4C1E" w:rsidRPr="009B4C1E">
              <w:rPr>
                <w:rStyle w:val="Hyperlink"/>
                <w:rFonts w:cs="Arial"/>
                <w:noProof/>
              </w:rPr>
              <w:t>Overview</w:t>
            </w:r>
            <w:r w:rsidR="009B4C1E" w:rsidRPr="009B4C1E">
              <w:rPr>
                <w:noProof/>
                <w:webHidden/>
              </w:rPr>
              <w:tab/>
            </w:r>
            <w:r w:rsidR="009B4C1E" w:rsidRPr="009B4C1E">
              <w:rPr>
                <w:noProof/>
                <w:webHidden/>
              </w:rPr>
              <w:fldChar w:fldCharType="begin"/>
            </w:r>
            <w:r w:rsidR="009B4C1E" w:rsidRPr="009B4C1E">
              <w:rPr>
                <w:noProof/>
                <w:webHidden/>
              </w:rPr>
              <w:instrText xml:space="preserve"> PAGEREF _Toc59045881 \h </w:instrText>
            </w:r>
            <w:r w:rsidR="009B4C1E" w:rsidRPr="009B4C1E">
              <w:rPr>
                <w:noProof/>
                <w:webHidden/>
              </w:rPr>
            </w:r>
            <w:r w:rsidR="009B4C1E" w:rsidRPr="009B4C1E">
              <w:rPr>
                <w:noProof/>
                <w:webHidden/>
              </w:rPr>
              <w:fldChar w:fldCharType="separate"/>
            </w:r>
            <w:r w:rsidR="0096252A">
              <w:rPr>
                <w:noProof/>
                <w:webHidden/>
              </w:rPr>
              <w:t>25</w:t>
            </w:r>
            <w:r w:rsidR="009B4C1E" w:rsidRPr="009B4C1E">
              <w:rPr>
                <w:noProof/>
                <w:webHidden/>
              </w:rPr>
              <w:fldChar w:fldCharType="end"/>
            </w:r>
          </w:hyperlink>
        </w:p>
        <w:p w14:paraId="40AA55E6" w14:textId="12C272E2" w:rsidR="009B4C1E" w:rsidRPr="009B4C1E" w:rsidRDefault="009D5D6C">
          <w:pPr>
            <w:pStyle w:val="TOC2"/>
            <w:tabs>
              <w:tab w:val="right" w:leader="dot" w:pos="9016"/>
            </w:tabs>
            <w:rPr>
              <w:rFonts w:asciiTheme="minorHAnsi" w:eastAsiaTheme="minorEastAsia" w:hAnsiTheme="minorHAnsi"/>
              <w:noProof/>
              <w:color w:val="auto"/>
              <w:lang w:eastAsia="en-AU"/>
            </w:rPr>
          </w:pPr>
          <w:hyperlink w:anchor="_Toc59045882" w:history="1">
            <w:r w:rsidR="009B4C1E" w:rsidRPr="009B4C1E">
              <w:rPr>
                <w:rStyle w:val="Hyperlink"/>
                <w:noProof/>
              </w:rPr>
              <w:t>Recommendations to improve young women’s physical health</w:t>
            </w:r>
            <w:r w:rsidR="009B4C1E" w:rsidRPr="009B4C1E">
              <w:rPr>
                <w:noProof/>
                <w:webHidden/>
              </w:rPr>
              <w:tab/>
            </w:r>
            <w:r w:rsidR="009B4C1E" w:rsidRPr="009B4C1E">
              <w:rPr>
                <w:noProof/>
                <w:webHidden/>
              </w:rPr>
              <w:fldChar w:fldCharType="begin"/>
            </w:r>
            <w:r w:rsidR="009B4C1E" w:rsidRPr="009B4C1E">
              <w:rPr>
                <w:noProof/>
                <w:webHidden/>
              </w:rPr>
              <w:instrText xml:space="preserve"> PAGEREF _Toc59045882 \h </w:instrText>
            </w:r>
            <w:r w:rsidR="009B4C1E" w:rsidRPr="009B4C1E">
              <w:rPr>
                <w:noProof/>
                <w:webHidden/>
              </w:rPr>
            </w:r>
            <w:r w:rsidR="009B4C1E" w:rsidRPr="009B4C1E">
              <w:rPr>
                <w:noProof/>
                <w:webHidden/>
              </w:rPr>
              <w:fldChar w:fldCharType="separate"/>
            </w:r>
            <w:r w:rsidR="0096252A">
              <w:rPr>
                <w:noProof/>
                <w:webHidden/>
              </w:rPr>
              <w:t>27</w:t>
            </w:r>
            <w:r w:rsidR="009B4C1E" w:rsidRPr="009B4C1E">
              <w:rPr>
                <w:noProof/>
                <w:webHidden/>
              </w:rPr>
              <w:fldChar w:fldCharType="end"/>
            </w:r>
          </w:hyperlink>
        </w:p>
        <w:p w14:paraId="61AE1D43" w14:textId="3C5203F6" w:rsidR="009B4C1E" w:rsidRDefault="009D5D6C">
          <w:pPr>
            <w:pStyle w:val="TOC1"/>
            <w:rPr>
              <w:rFonts w:asciiTheme="minorHAnsi" w:eastAsiaTheme="minorEastAsia" w:hAnsiTheme="minorHAnsi"/>
              <w:b w:val="0"/>
              <w:lang w:eastAsia="en-AU"/>
            </w:rPr>
          </w:pPr>
          <w:hyperlink w:anchor="_Toc59045883" w:history="1">
            <w:r w:rsidR="009B4C1E" w:rsidRPr="00B33A13">
              <w:rPr>
                <w:rStyle w:val="Hyperlink"/>
              </w:rPr>
              <w:t>Sexual and reproductive health</w:t>
            </w:r>
            <w:r w:rsidR="009B4C1E">
              <w:rPr>
                <w:webHidden/>
              </w:rPr>
              <w:tab/>
            </w:r>
            <w:r w:rsidR="009B4C1E">
              <w:rPr>
                <w:webHidden/>
              </w:rPr>
              <w:fldChar w:fldCharType="begin"/>
            </w:r>
            <w:r w:rsidR="009B4C1E">
              <w:rPr>
                <w:webHidden/>
              </w:rPr>
              <w:instrText xml:space="preserve"> PAGEREF _Toc59045883 \h </w:instrText>
            </w:r>
            <w:r w:rsidR="009B4C1E">
              <w:rPr>
                <w:webHidden/>
              </w:rPr>
            </w:r>
            <w:r w:rsidR="009B4C1E">
              <w:rPr>
                <w:webHidden/>
              </w:rPr>
              <w:fldChar w:fldCharType="separate"/>
            </w:r>
            <w:r w:rsidR="0096252A">
              <w:rPr>
                <w:webHidden/>
              </w:rPr>
              <w:t>29</w:t>
            </w:r>
            <w:r w:rsidR="009B4C1E">
              <w:rPr>
                <w:webHidden/>
              </w:rPr>
              <w:fldChar w:fldCharType="end"/>
            </w:r>
          </w:hyperlink>
        </w:p>
        <w:p w14:paraId="6FA582D5" w14:textId="049025EB" w:rsidR="009B4C1E" w:rsidRPr="009B4C1E" w:rsidRDefault="009D5D6C">
          <w:pPr>
            <w:pStyle w:val="TOC2"/>
            <w:tabs>
              <w:tab w:val="right" w:leader="dot" w:pos="9016"/>
            </w:tabs>
            <w:rPr>
              <w:rFonts w:asciiTheme="minorHAnsi" w:eastAsiaTheme="minorEastAsia" w:hAnsiTheme="minorHAnsi"/>
              <w:noProof/>
              <w:color w:val="auto"/>
              <w:lang w:eastAsia="en-AU"/>
            </w:rPr>
          </w:pPr>
          <w:hyperlink w:anchor="_Toc59045884" w:history="1">
            <w:r w:rsidR="009B4C1E" w:rsidRPr="009B4C1E">
              <w:rPr>
                <w:rStyle w:val="Hyperlink"/>
                <w:noProof/>
              </w:rPr>
              <w:t>Overview</w:t>
            </w:r>
            <w:r w:rsidR="009B4C1E" w:rsidRPr="009B4C1E">
              <w:rPr>
                <w:noProof/>
                <w:webHidden/>
              </w:rPr>
              <w:tab/>
            </w:r>
            <w:r w:rsidR="009B4C1E" w:rsidRPr="009B4C1E">
              <w:rPr>
                <w:noProof/>
                <w:webHidden/>
              </w:rPr>
              <w:fldChar w:fldCharType="begin"/>
            </w:r>
            <w:r w:rsidR="009B4C1E" w:rsidRPr="009B4C1E">
              <w:rPr>
                <w:noProof/>
                <w:webHidden/>
              </w:rPr>
              <w:instrText xml:space="preserve"> PAGEREF _Toc59045884 \h </w:instrText>
            </w:r>
            <w:r w:rsidR="009B4C1E" w:rsidRPr="009B4C1E">
              <w:rPr>
                <w:noProof/>
                <w:webHidden/>
              </w:rPr>
            </w:r>
            <w:r w:rsidR="009B4C1E" w:rsidRPr="009B4C1E">
              <w:rPr>
                <w:noProof/>
                <w:webHidden/>
              </w:rPr>
              <w:fldChar w:fldCharType="separate"/>
            </w:r>
            <w:r w:rsidR="0096252A">
              <w:rPr>
                <w:noProof/>
                <w:webHidden/>
              </w:rPr>
              <w:t>29</w:t>
            </w:r>
            <w:r w:rsidR="009B4C1E" w:rsidRPr="009B4C1E">
              <w:rPr>
                <w:noProof/>
                <w:webHidden/>
              </w:rPr>
              <w:fldChar w:fldCharType="end"/>
            </w:r>
          </w:hyperlink>
        </w:p>
        <w:p w14:paraId="3B990A02" w14:textId="34F1B871" w:rsidR="009B4C1E" w:rsidRPr="009B4C1E" w:rsidRDefault="009D5D6C">
          <w:pPr>
            <w:pStyle w:val="TOC2"/>
            <w:tabs>
              <w:tab w:val="right" w:leader="dot" w:pos="9016"/>
            </w:tabs>
            <w:rPr>
              <w:rFonts w:asciiTheme="minorHAnsi" w:eastAsiaTheme="minorEastAsia" w:hAnsiTheme="minorHAnsi"/>
              <w:noProof/>
              <w:color w:val="auto"/>
              <w:lang w:eastAsia="en-AU"/>
            </w:rPr>
          </w:pPr>
          <w:hyperlink w:anchor="_Toc59045885" w:history="1">
            <w:r w:rsidR="009B4C1E" w:rsidRPr="009B4C1E">
              <w:rPr>
                <w:rStyle w:val="Hyperlink"/>
                <w:noProof/>
              </w:rPr>
              <w:t>Sexuality and relationships education</w:t>
            </w:r>
            <w:r w:rsidR="009B4C1E" w:rsidRPr="009B4C1E">
              <w:rPr>
                <w:noProof/>
                <w:webHidden/>
              </w:rPr>
              <w:tab/>
            </w:r>
            <w:r w:rsidR="009B4C1E" w:rsidRPr="009B4C1E">
              <w:rPr>
                <w:noProof/>
                <w:webHidden/>
              </w:rPr>
              <w:fldChar w:fldCharType="begin"/>
            </w:r>
            <w:r w:rsidR="009B4C1E" w:rsidRPr="009B4C1E">
              <w:rPr>
                <w:noProof/>
                <w:webHidden/>
              </w:rPr>
              <w:instrText xml:space="preserve"> PAGEREF _Toc59045885 \h </w:instrText>
            </w:r>
            <w:r w:rsidR="009B4C1E" w:rsidRPr="009B4C1E">
              <w:rPr>
                <w:noProof/>
                <w:webHidden/>
              </w:rPr>
            </w:r>
            <w:r w:rsidR="009B4C1E" w:rsidRPr="009B4C1E">
              <w:rPr>
                <w:noProof/>
                <w:webHidden/>
              </w:rPr>
              <w:fldChar w:fldCharType="separate"/>
            </w:r>
            <w:r w:rsidR="0096252A">
              <w:rPr>
                <w:noProof/>
                <w:webHidden/>
              </w:rPr>
              <w:t>29</w:t>
            </w:r>
            <w:r w:rsidR="009B4C1E" w:rsidRPr="009B4C1E">
              <w:rPr>
                <w:noProof/>
                <w:webHidden/>
              </w:rPr>
              <w:fldChar w:fldCharType="end"/>
            </w:r>
          </w:hyperlink>
        </w:p>
        <w:p w14:paraId="7921C677" w14:textId="301E3352" w:rsidR="009B4C1E" w:rsidRPr="009B4C1E" w:rsidRDefault="009D5D6C">
          <w:pPr>
            <w:pStyle w:val="TOC2"/>
            <w:tabs>
              <w:tab w:val="right" w:leader="dot" w:pos="9016"/>
            </w:tabs>
            <w:rPr>
              <w:rFonts w:asciiTheme="minorHAnsi" w:eastAsiaTheme="minorEastAsia" w:hAnsiTheme="minorHAnsi"/>
              <w:noProof/>
              <w:color w:val="auto"/>
              <w:lang w:eastAsia="en-AU"/>
            </w:rPr>
          </w:pPr>
          <w:hyperlink w:anchor="_Toc59045886" w:history="1">
            <w:r w:rsidR="009B4C1E" w:rsidRPr="009B4C1E">
              <w:rPr>
                <w:rStyle w:val="Hyperlink"/>
                <w:noProof/>
              </w:rPr>
              <w:t>Period and pelvic pain</w:t>
            </w:r>
            <w:r w:rsidR="009B4C1E" w:rsidRPr="009B4C1E">
              <w:rPr>
                <w:noProof/>
                <w:webHidden/>
              </w:rPr>
              <w:tab/>
            </w:r>
            <w:r w:rsidR="009B4C1E" w:rsidRPr="009B4C1E">
              <w:rPr>
                <w:noProof/>
                <w:webHidden/>
              </w:rPr>
              <w:fldChar w:fldCharType="begin"/>
            </w:r>
            <w:r w:rsidR="009B4C1E" w:rsidRPr="009B4C1E">
              <w:rPr>
                <w:noProof/>
                <w:webHidden/>
              </w:rPr>
              <w:instrText xml:space="preserve"> PAGEREF _Toc59045886 \h </w:instrText>
            </w:r>
            <w:r w:rsidR="009B4C1E" w:rsidRPr="009B4C1E">
              <w:rPr>
                <w:noProof/>
                <w:webHidden/>
              </w:rPr>
            </w:r>
            <w:r w:rsidR="009B4C1E" w:rsidRPr="009B4C1E">
              <w:rPr>
                <w:noProof/>
                <w:webHidden/>
              </w:rPr>
              <w:fldChar w:fldCharType="separate"/>
            </w:r>
            <w:r w:rsidR="0096252A">
              <w:rPr>
                <w:noProof/>
                <w:webHidden/>
              </w:rPr>
              <w:t>31</w:t>
            </w:r>
            <w:r w:rsidR="009B4C1E" w:rsidRPr="009B4C1E">
              <w:rPr>
                <w:noProof/>
                <w:webHidden/>
              </w:rPr>
              <w:fldChar w:fldCharType="end"/>
            </w:r>
          </w:hyperlink>
        </w:p>
        <w:p w14:paraId="1FC7B7F9" w14:textId="4B29BE73" w:rsidR="009B4C1E" w:rsidRPr="009B4C1E" w:rsidRDefault="009D5D6C">
          <w:pPr>
            <w:pStyle w:val="TOC2"/>
            <w:tabs>
              <w:tab w:val="right" w:leader="dot" w:pos="9016"/>
            </w:tabs>
            <w:rPr>
              <w:rFonts w:asciiTheme="minorHAnsi" w:eastAsiaTheme="minorEastAsia" w:hAnsiTheme="minorHAnsi"/>
              <w:noProof/>
              <w:color w:val="auto"/>
              <w:lang w:eastAsia="en-AU"/>
            </w:rPr>
          </w:pPr>
          <w:hyperlink w:anchor="_Toc59045887" w:history="1">
            <w:r w:rsidR="009B4C1E" w:rsidRPr="009B4C1E">
              <w:rPr>
                <w:rStyle w:val="Hyperlink"/>
                <w:noProof/>
              </w:rPr>
              <w:t>Access to contraception and abortion information and services</w:t>
            </w:r>
            <w:r w:rsidR="009B4C1E" w:rsidRPr="009B4C1E">
              <w:rPr>
                <w:noProof/>
                <w:webHidden/>
              </w:rPr>
              <w:tab/>
            </w:r>
            <w:r w:rsidR="009B4C1E" w:rsidRPr="009B4C1E">
              <w:rPr>
                <w:noProof/>
                <w:webHidden/>
              </w:rPr>
              <w:fldChar w:fldCharType="begin"/>
            </w:r>
            <w:r w:rsidR="009B4C1E" w:rsidRPr="009B4C1E">
              <w:rPr>
                <w:noProof/>
                <w:webHidden/>
              </w:rPr>
              <w:instrText xml:space="preserve"> PAGEREF _Toc59045887 \h </w:instrText>
            </w:r>
            <w:r w:rsidR="009B4C1E" w:rsidRPr="009B4C1E">
              <w:rPr>
                <w:noProof/>
                <w:webHidden/>
              </w:rPr>
            </w:r>
            <w:r w:rsidR="009B4C1E" w:rsidRPr="009B4C1E">
              <w:rPr>
                <w:noProof/>
                <w:webHidden/>
              </w:rPr>
              <w:fldChar w:fldCharType="separate"/>
            </w:r>
            <w:r w:rsidR="0096252A">
              <w:rPr>
                <w:noProof/>
                <w:webHidden/>
              </w:rPr>
              <w:t>32</w:t>
            </w:r>
            <w:r w:rsidR="009B4C1E" w:rsidRPr="009B4C1E">
              <w:rPr>
                <w:noProof/>
                <w:webHidden/>
              </w:rPr>
              <w:fldChar w:fldCharType="end"/>
            </w:r>
          </w:hyperlink>
        </w:p>
        <w:p w14:paraId="4BE97EEF" w14:textId="03E5E672" w:rsidR="009B4C1E" w:rsidRPr="009B4C1E" w:rsidRDefault="009D5D6C">
          <w:pPr>
            <w:pStyle w:val="TOC2"/>
            <w:tabs>
              <w:tab w:val="right" w:leader="dot" w:pos="9016"/>
            </w:tabs>
            <w:rPr>
              <w:rFonts w:asciiTheme="minorHAnsi" w:eastAsiaTheme="minorEastAsia" w:hAnsiTheme="minorHAnsi"/>
              <w:noProof/>
              <w:color w:val="auto"/>
              <w:lang w:eastAsia="en-AU"/>
            </w:rPr>
          </w:pPr>
          <w:hyperlink w:anchor="_Toc59045888" w:history="1">
            <w:r w:rsidR="009B4C1E" w:rsidRPr="009B4C1E">
              <w:rPr>
                <w:rStyle w:val="Hyperlink"/>
                <w:noProof/>
              </w:rPr>
              <w:t>Youth-friendly sexual and reproductive health services</w:t>
            </w:r>
            <w:r w:rsidR="009B4C1E" w:rsidRPr="009B4C1E">
              <w:rPr>
                <w:noProof/>
                <w:webHidden/>
              </w:rPr>
              <w:tab/>
            </w:r>
            <w:r w:rsidR="009B4C1E" w:rsidRPr="009B4C1E">
              <w:rPr>
                <w:noProof/>
                <w:webHidden/>
              </w:rPr>
              <w:fldChar w:fldCharType="begin"/>
            </w:r>
            <w:r w:rsidR="009B4C1E" w:rsidRPr="009B4C1E">
              <w:rPr>
                <w:noProof/>
                <w:webHidden/>
              </w:rPr>
              <w:instrText xml:space="preserve"> PAGEREF _Toc59045888 \h </w:instrText>
            </w:r>
            <w:r w:rsidR="009B4C1E" w:rsidRPr="009B4C1E">
              <w:rPr>
                <w:noProof/>
                <w:webHidden/>
              </w:rPr>
            </w:r>
            <w:r w:rsidR="009B4C1E" w:rsidRPr="009B4C1E">
              <w:rPr>
                <w:noProof/>
                <w:webHidden/>
              </w:rPr>
              <w:fldChar w:fldCharType="separate"/>
            </w:r>
            <w:r w:rsidR="0096252A">
              <w:rPr>
                <w:noProof/>
                <w:webHidden/>
              </w:rPr>
              <w:t>34</w:t>
            </w:r>
            <w:r w:rsidR="009B4C1E" w:rsidRPr="009B4C1E">
              <w:rPr>
                <w:noProof/>
                <w:webHidden/>
              </w:rPr>
              <w:fldChar w:fldCharType="end"/>
            </w:r>
          </w:hyperlink>
        </w:p>
        <w:p w14:paraId="57B7687F" w14:textId="42FDB1A6" w:rsidR="009B4C1E" w:rsidRPr="009B4C1E" w:rsidRDefault="009D5D6C">
          <w:pPr>
            <w:pStyle w:val="TOC2"/>
            <w:tabs>
              <w:tab w:val="right" w:leader="dot" w:pos="9016"/>
            </w:tabs>
            <w:rPr>
              <w:rFonts w:asciiTheme="minorHAnsi" w:eastAsiaTheme="minorEastAsia" w:hAnsiTheme="minorHAnsi"/>
              <w:noProof/>
              <w:color w:val="auto"/>
              <w:lang w:eastAsia="en-AU"/>
            </w:rPr>
          </w:pPr>
          <w:hyperlink w:anchor="_Toc59045889" w:history="1">
            <w:r w:rsidR="009B4C1E" w:rsidRPr="009B4C1E">
              <w:rPr>
                <w:rStyle w:val="Hyperlink"/>
                <w:noProof/>
              </w:rPr>
              <w:t>Recommendations to improve young people’s sexual and reproductive health</w:t>
            </w:r>
            <w:r w:rsidR="009B4C1E" w:rsidRPr="009B4C1E">
              <w:rPr>
                <w:noProof/>
                <w:webHidden/>
              </w:rPr>
              <w:tab/>
            </w:r>
            <w:r w:rsidR="009B4C1E" w:rsidRPr="009B4C1E">
              <w:rPr>
                <w:noProof/>
                <w:webHidden/>
              </w:rPr>
              <w:fldChar w:fldCharType="begin"/>
            </w:r>
            <w:r w:rsidR="009B4C1E" w:rsidRPr="009B4C1E">
              <w:rPr>
                <w:noProof/>
                <w:webHidden/>
              </w:rPr>
              <w:instrText xml:space="preserve"> PAGEREF _Toc59045889 \h </w:instrText>
            </w:r>
            <w:r w:rsidR="009B4C1E" w:rsidRPr="009B4C1E">
              <w:rPr>
                <w:noProof/>
                <w:webHidden/>
              </w:rPr>
            </w:r>
            <w:r w:rsidR="009B4C1E" w:rsidRPr="009B4C1E">
              <w:rPr>
                <w:noProof/>
                <w:webHidden/>
              </w:rPr>
              <w:fldChar w:fldCharType="separate"/>
            </w:r>
            <w:r w:rsidR="0096252A">
              <w:rPr>
                <w:noProof/>
                <w:webHidden/>
              </w:rPr>
              <w:t>35</w:t>
            </w:r>
            <w:r w:rsidR="009B4C1E" w:rsidRPr="009B4C1E">
              <w:rPr>
                <w:noProof/>
                <w:webHidden/>
              </w:rPr>
              <w:fldChar w:fldCharType="end"/>
            </w:r>
          </w:hyperlink>
        </w:p>
        <w:p w14:paraId="3230A987" w14:textId="067EF9C3" w:rsidR="009B4C1E" w:rsidRDefault="009D5D6C">
          <w:pPr>
            <w:pStyle w:val="TOC1"/>
            <w:rPr>
              <w:rFonts w:asciiTheme="minorHAnsi" w:eastAsiaTheme="minorEastAsia" w:hAnsiTheme="minorHAnsi"/>
              <w:b w:val="0"/>
              <w:lang w:eastAsia="en-AU"/>
            </w:rPr>
          </w:pPr>
          <w:hyperlink w:anchor="_Toc59045890" w:history="1">
            <w:r w:rsidR="009B4C1E" w:rsidRPr="00B33A13">
              <w:rPr>
                <w:rStyle w:val="Hyperlink"/>
              </w:rPr>
              <w:t xml:space="preserve">Prevention of violence against women </w:t>
            </w:r>
            <w:r w:rsidR="009B4C1E">
              <w:rPr>
                <w:webHidden/>
              </w:rPr>
              <w:tab/>
            </w:r>
            <w:r w:rsidR="009B4C1E">
              <w:rPr>
                <w:webHidden/>
              </w:rPr>
              <w:fldChar w:fldCharType="begin"/>
            </w:r>
            <w:r w:rsidR="009B4C1E">
              <w:rPr>
                <w:webHidden/>
              </w:rPr>
              <w:instrText xml:space="preserve"> PAGEREF _Toc59045890 \h </w:instrText>
            </w:r>
            <w:r w:rsidR="009B4C1E">
              <w:rPr>
                <w:webHidden/>
              </w:rPr>
            </w:r>
            <w:r w:rsidR="009B4C1E">
              <w:rPr>
                <w:webHidden/>
              </w:rPr>
              <w:fldChar w:fldCharType="separate"/>
            </w:r>
            <w:r w:rsidR="0096252A">
              <w:rPr>
                <w:webHidden/>
              </w:rPr>
              <w:t>37</w:t>
            </w:r>
            <w:r w:rsidR="009B4C1E">
              <w:rPr>
                <w:webHidden/>
              </w:rPr>
              <w:fldChar w:fldCharType="end"/>
            </w:r>
          </w:hyperlink>
        </w:p>
        <w:p w14:paraId="0FE46E45" w14:textId="51410DD4" w:rsidR="009B4C1E" w:rsidRPr="009B4C1E" w:rsidRDefault="009D5D6C">
          <w:pPr>
            <w:pStyle w:val="TOC2"/>
            <w:tabs>
              <w:tab w:val="right" w:leader="dot" w:pos="9016"/>
            </w:tabs>
            <w:rPr>
              <w:rFonts w:asciiTheme="minorHAnsi" w:eastAsiaTheme="minorEastAsia" w:hAnsiTheme="minorHAnsi"/>
              <w:noProof/>
              <w:color w:val="auto"/>
              <w:lang w:eastAsia="en-AU"/>
            </w:rPr>
          </w:pPr>
          <w:hyperlink w:anchor="_Toc59045891" w:history="1">
            <w:r w:rsidR="009B4C1E" w:rsidRPr="009B4C1E">
              <w:rPr>
                <w:rStyle w:val="Hyperlink"/>
                <w:noProof/>
              </w:rPr>
              <w:t>Overview</w:t>
            </w:r>
            <w:r w:rsidR="009B4C1E" w:rsidRPr="009B4C1E">
              <w:rPr>
                <w:noProof/>
                <w:webHidden/>
              </w:rPr>
              <w:tab/>
            </w:r>
            <w:r w:rsidR="009B4C1E" w:rsidRPr="009B4C1E">
              <w:rPr>
                <w:noProof/>
                <w:webHidden/>
              </w:rPr>
              <w:fldChar w:fldCharType="begin"/>
            </w:r>
            <w:r w:rsidR="009B4C1E" w:rsidRPr="009B4C1E">
              <w:rPr>
                <w:noProof/>
                <w:webHidden/>
              </w:rPr>
              <w:instrText xml:space="preserve"> PAGEREF _Toc59045891 \h </w:instrText>
            </w:r>
            <w:r w:rsidR="009B4C1E" w:rsidRPr="009B4C1E">
              <w:rPr>
                <w:noProof/>
                <w:webHidden/>
              </w:rPr>
            </w:r>
            <w:r w:rsidR="009B4C1E" w:rsidRPr="009B4C1E">
              <w:rPr>
                <w:noProof/>
                <w:webHidden/>
              </w:rPr>
              <w:fldChar w:fldCharType="separate"/>
            </w:r>
            <w:r w:rsidR="0096252A">
              <w:rPr>
                <w:noProof/>
                <w:webHidden/>
              </w:rPr>
              <w:t>37</w:t>
            </w:r>
            <w:r w:rsidR="009B4C1E" w:rsidRPr="009B4C1E">
              <w:rPr>
                <w:noProof/>
                <w:webHidden/>
              </w:rPr>
              <w:fldChar w:fldCharType="end"/>
            </w:r>
          </w:hyperlink>
        </w:p>
        <w:p w14:paraId="496718D2" w14:textId="220FC0E0" w:rsidR="009B4C1E" w:rsidRPr="009B4C1E" w:rsidRDefault="009D5D6C">
          <w:pPr>
            <w:pStyle w:val="TOC2"/>
            <w:tabs>
              <w:tab w:val="right" w:leader="dot" w:pos="9016"/>
            </w:tabs>
            <w:rPr>
              <w:rFonts w:asciiTheme="minorHAnsi" w:eastAsiaTheme="minorEastAsia" w:hAnsiTheme="minorHAnsi"/>
              <w:noProof/>
              <w:color w:val="auto"/>
              <w:lang w:eastAsia="en-AU"/>
            </w:rPr>
          </w:pPr>
          <w:hyperlink w:anchor="_Toc59045892" w:history="1">
            <w:r w:rsidR="009B4C1E" w:rsidRPr="009B4C1E">
              <w:rPr>
                <w:rStyle w:val="Hyperlink"/>
                <w:noProof/>
              </w:rPr>
              <w:t>Preventing and responding to sexual harassment and sexual violence</w:t>
            </w:r>
            <w:r w:rsidR="009B4C1E" w:rsidRPr="009B4C1E">
              <w:rPr>
                <w:noProof/>
                <w:webHidden/>
              </w:rPr>
              <w:tab/>
            </w:r>
            <w:r w:rsidR="009B4C1E" w:rsidRPr="009B4C1E">
              <w:rPr>
                <w:noProof/>
                <w:webHidden/>
              </w:rPr>
              <w:fldChar w:fldCharType="begin"/>
            </w:r>
            <w:r w:rsidR="009B4C1E" w:rsidRPr="009B4C1E">
              <w:rPr>
                <w:noProof/>
                <w:webHidden/>
              </w:rPr>
              <w:instrText xml:space="preserve"> PAGEREF _Toc59045892 \h </w:instrText>
            </w:r>
            <w:r w:rsidR="009B4C1E" w:rsidRPr="009B4C1E">
              <w:rPr>
                <w:noProof/>
                <w:webHidden/>
              </w:rPr>
            </w:r>
            <w:r w:rsidR="009B4C1E" w:rsidRPr="009B4C1E">
              <w:rPr>
                <w:noProof/>
                <w:webHidden/>
              </w:rPr>
              <w:fldChar w:fldCharType="separate"/>
            </w:r>
            <w:r w:rsidR="0096252A">
              <w:rPr>
                <w:noProof/>
                <w:webHidden/>
              </w:rPr>
              <w:t>38</w:t>
            </w:r>
            <w:r w:rsidR="009B4C1E" w:rsidRPr="009B4C1E">
              <w:rPr>
                <w:noProof/>
                <w:webHidden/>
              </w:rPr>
              <w:fldChar w:fldCharType="end"/>
            </w:r>
          </w:hyperlink>
        </w:p>
        <w:p w14:paraId="132FFC45" w14:textId="7BAA28E7" w:rsidR="009B4C1E" w:rsidRPr="009B4C1E" w:rsidRDefault="009D5D6C">
          <w:pPr>
            <w:pStyle w:val="TOC2"/>
            <w:tabs>
              <w:tab w:val="right" w:leader="dot" w:pos="9016"/>
            </w:tabs>
            <w:rPr>
              <w:rFonts w:asciiTheme="minorHAnsi" w:eastAsiaTheme="minorEastAsia" w:hAnsiTheme="minorHAnsi"/>
              <w:noProof/>
              <w:color w:val="auto"/>
              <w:lang w:eastAsia="en-AU"/>
            </w:rPr>
          </w:pPr>
          <w:hyperlink w:anchor="_Toc59045893" w:history="1">
            <w:r w:rsidR="009B4C1E" w:rsidRPr="009B4C1E">
              <w:rPr>
                <w:rStyle w:val="Hyperlink"/>
                <w:noProof/>
              </w:rPr>
              <w:t>Cross-sector collaboration to prevent and respond to reproductive coercion/abuse</w:t>
            </w:r>
            <w:r w:rsidR="009B4C1E" w:rsidRPr="009B4C1E">
              <w:rPr>
                <w:noProof/>
                <w:webHidden/>
              </w:rPr>
              <w:tab/>
            </w:r>
            <w:r w:rsidR="009B4C1E" w:rsidRPr="009B4C1E">
              <w:rPr>
                <w:noProof/>
                <w:webHidden/>
              </w:rPr>
              <w:fldChar w:fldCharType="begin"/>
            </w:r>
            <w:r w:rsidR="009B4C1E" w:rsidRPr="009B4C1E">
              <w:rPr>
                <w:noProof/>
                <w:webHidden/>
              </w:rPr>
              <w:instrText xml:space="preserve"> PAGEREF _Toc59045893 \h </w:instrText>
            </w:r>
            <w:r w:rsidR="009B4C1E" w:rsidRPr="009B4C1E">
              <w:rPr>
                <w:noProof/>
                <w:webHidden/>
              </w:rPr>
            </w:r>
            <w:r w:rsidR="009B4C1E" w:rsidRPr="009B4C1E">
              <w:rPr>
                <w:noProof/>
                <w:webHidden/>
              </w:rPr>
              <w:fldChar w:fldCharType="separate"/>
            </w:r>
            <w:r w:rsidR="0096252A">
              <w:rPr>
                <w:noProof/>
                <w:webHidden/>
              </w:rPr>
              <w:t>39</w:t>
            </w:r>
            <w:r w:rsidR="009B4C1E" w:rsidRPr="009B4C1E">
              <w:rPr>
                <w:noProof/>
                <w:webHidden/>
              </w:rPr>
              <w:fldChar w:fldCharType="end"/>
            </w:r>
          </w:hyperlink>
        </w:p>
        <w:p w14:paraId="32ED9D96" w14:textId="1BC572AA" w:rsidR="009B4C1E" w:rsidRPr="009B4C1E" w:rsidRDefault="009D5D6C">
          <w:pPr>
            <w:pStyle w:val="TOC2"/>
            <w:tabs>
              <w:tab w:val="right" w:leader="dot" w:pos="9016"/>
            </w:tabs>
            <w:rPr>
              <w:rFonts w:asciiTheme="minorHAnsi" w:eastAsiaTheme="minorEastAsia" w:hAnsiTheme="minorHAnsi"/>
              <w:noProof/>
              <w:color w:val="auto"/>
              <w:lang w:eastAsia="en-AU"/>
            </w:rPr>
          </w:pPr>
          <w:hyperlink w:anchor="_Toc59045894" w:history="1">
            <w:r w:rsidR="009B4C1E" w:rsidRPr="009B4C1E">
              <w:rPr>
                <w:rStyle w:val="Hyperlink"/>
                <w:noProof/>
              </w:rPr>
              <w:t>Evaluating and enhancing critical media literacy for young people</w:t>
            </w:r>
            <w:r w:rsidR="009B4C1E" w:rsidRPr="009B4C1E">
              <w:rPr>
                <w:noProof/>
                <w:webHidden/>
              </w:rPr>
              <w:tab/>
            </w:r>
            <w:r w:rsidR="009B4C1E" w:rsidRPr="009B4C1E">
              <w:rPr>
                <w:noProof/>
                <w:webHidden/>
              </w:rPr>
              <w:fldChar w:fldCharType="begin"/>
            </w:r>
            <w:r w:rsidR="009B4C1E" w:rsidRPr="009B4C1E">
              <w:rPr>
                <w:noProof/>
                <w:webHidden/>
              </w:rPr>
              <w:instrText xml:space="preserve"> PAGEREF _Toc59045894 \h </w:instrText>
            </w:r>
            <w:r w:rsidR="009B4C1E" w:rsidRPr="009B4C1E">
              <w:rPr>
                <w:noProof/>
                <w:webHidden/>
              </w:rPr>
            </w:r>
            <w:r w:rsidR="009B4C1E" w:rsidRPr="009B4C1E">
              <w:rPr>
                <w:noProof/>
                <w:webHidden/>
              </w:rPr>
              <w:fldChar w:fldCharType="separate"/>
            </w:r>
            <w:r w:rsidR="0096252A">
              <w:rPr>
                <w:noProof/>
                <w:webHidden/>
              </w:rPr>
              <w:t>41</w:t>
            </w:r>
            <w:r w:rsidR="009B4C1E" w:rsidRPr="009B4C1E">
              <w:rPr>
                <w:noProof/>
                <w:webHidden/>
              </w:rPr>
              <w:fldChar w:fldCharType="end"/>
            </w:r>
          </w:hyperlink>
        </w:p>
        <w:p w14:paraId="60C35802" w14:textId="477320B2" w:rsidR="009B4C1E" w:rsidRPr="009B4C1E" w:rsidRDefault="009D5D6C">
          <w:pPr>
            <w:pStyle w:val="TOC2"/>
            <w:tabs>
              <w:tab w:val="right" w:leader="dot" w:pos="9016"/>
            </w:tabs>
            <w:rPr>
              <w:rFonts w:asciiTheme="minorHAnsi" w:eastAsiaTheme="minorEastAsia" w:hAnsiTheme="minorHAnsi"/>
              <w:noProof/>
              <w:color w:val="auto"/>
              <w:lang w:eastAsia="en-AU"/>
            </w:rPr>
          </w:pPr>
          <w:hyperlink w:anchor="_Toc59045895" w:history="1">
            <w:r w:rsidR="009B4C1E" w:rsidRPr="009B4C1E">
              <w:rPr>
                <w:rStyle w:val="Hyperlink"/>
                <w:noProof/>
              </w:rPr>
              <w:t>Challenging harmful attitudes and behaviours and rigid masculine gender norms</w:t>
            </w:r>
            <w:r w:rsidR="009B4C1E" w:rsidRPr="009B4C1E">
              <w:rPr>
                <w:noProof/>
                <w:webHidden/>
              </w:rPr>
              <w:tab/>
            </w:r>
            <w:r w:rsidR="009B4C1E" w:rsidRPr="009B4C1E">
              <w:rPr>
                <w:noProof/>
                <w:webHidden/>
              </w:rPr>
              <w:fldChar w:fldCharType="begin"/>
            </w:r>
            <w:r w:rsidR="009B4C1E" w:rsidRPr="009B4C1E">
              <w:rPr>
                <w:noProof/>
                <w:webHidden/>
              </w:rPr>
              <w:instrText xml:space="preserve"> PAGEREF _Toc59045895 \h </w:instrText>
            </w:r>
            <w:r w:rsidR="009B4C1E" w:rsidRPr="009B4C1E">
              <w:rPr>
                <w:noProof/>
                <w:webHidden/>
              </w:rPr>
            </w:r>
            <w:r w:rsidR="009B4C1E" w:rsidRPr="009B4C1E">
              <w:rPr>
                <w:noProof/>
                <w:webHidden/>
              </w:rPr>
              <w:fldChar w:fldCharType="separate"/>
            </w:r>
            <w:r w:rsidR="0096252A">
              <w:rPr>
                <w:noProof/>
                <w:webHidden/>
              </w:rPr>
              <w:t>43</w:t>
            </w:r>
            <w:r w:rsidR="009B4C1E" w:rsidRPr="009B4C1E">
              <w:rPr>
                <w:noProof/>
                <w:webHidden/>
              </w:rPr>
              <w:fldChar w:fldCharType="end"/>
            </w:r>
          </w:hyperlink>
        </w:p>
        <w:p w14:paraId="411440BC" w14:textId="50104CBB" w:rsidR="009B4C1E" w:rsidRPr="009B4C1E" w:rsidRDefault="009D5D6C">
          <w:pPr>
            <w:pStyle w:val="TOC2"/>
            <w:tabs>
              <w:tab w:val="right" w:leader="dot" w:pos="9016"/>
            </w:tabs>
            <w:rPr>
              <w:rFonts w:asciiTheme="minorHAnsi" w:eastAsiaTheme="minorEastAsia" w:hAnsiTheme="minorHAnsi"/>
              <w:noProof/>
              <w:color w:val="auto"/>
              <w:lang w:eastAsia="en-AU"/>
            </w:rPr>
          </w:pPr>
          <w:hyperlink w:anchor="_Toc59045896" w:history="1">
            <w:r w:rsidR="009B4C1E" w:rsidRPr="009B4C1E">
              <w:rPr>
                <w:rStyle w:val="Hyperlink"/>
                <w:noProof/>
              </w:rPr>
              <w:t>Recommendations for the prevention of violence against women targeting young people</w:t>
            </w:r>
            <w:r w:rsidR="009B4C1E" w:rsidRPr="009B4C1E">
              <w:rPr>
                <w:noProof/>
                <w:webHidden/>
              </w:rPr>
              <w:tab/>
            </w:r>
            <w:r w:rsidR="009B4C1E" w:rsidRPr="009B4C1E">
              <w:rPr>
                <w:noProof/>
                <w:webHidden/>
              </w:rPr>
              <w:fldChar w:fldCharType="begin"/>
            </w:r>
            <w:r w:rsidR="009B4C1E" w:rsidRPr="009B4C1E">
              <w:rPr>
                <w:noProof/>
                <w:webHidden/>
              </w:rPr>
              <w:instrText xml:space="preserve"> PAGEREF _Toc59045896 \h </w:instrText>
            </w:r>
            <w:r w:rsidR="009B4C1E" w:rsidRPr="009B4C1E">
              <w:rPr>
                <w:noProof/>
                <w:webHidden/>
              </w:rPr>
            </w:r>
            <w:r w:rsidR="009B4C1E" w:rsidRPr="009B4C1E">
              <w:rPr>
                <w:noProof/>
                <w:webHidden/>
              </w:rPr>
              <w:fldChar w:fldCharType="separate"/>
            </w:r>
            <w:r w:rsidR="0096252A">
              <w:rPr>
                <w:noProof/>
                <w:webHidden/>
              </w:rPr>
              <w:t>45</w:t>
            </w:r>
            <w:r w:rsidR="009B4C1E" w:rsidRPr="009B4C1E">
              <w:rPr>
                <w:noProof/>
                <w:webHidden/>
              </w:rPr>
              <w:fldChar w:fldCharType="end"/>
            </w:r>
          </w:hyperlink>
        </w:p>
        <w:p w14:paraId="41043760" w14:textId="21B7BB9B" w:rsidR="009B4C1E" w:rsidRDefault="009D5D6C">
          <w:pPr>
            <w:pStyle w:val="TOC1"/>
            <w:rPr>
              <w:rFonts w:asciiTheme="minorHAnsi" w:eastAsiaTheme="minorEastAsia" w:hAnsiTheme="minorHAnsi"/>
              <w:b w:val="0"/>
              <w:lang w:eastAsia="en-AU"/>
            </w:rPr>
          </w:pPr>
          <w:hyperlink w:anchor="_Toc59045897" w:history="1">
            <w:r w:rsidR="009B4C1E" w:rsidRPr="00B33A13">
              <w:rPr>
                <w:rStyle w:val="Hyperlink"/>
              </w:rPr>
              <w:t>Conclusion</w:t>
            </w:r>
            <w:r w:rsidR="009B4C1E" w:rsidRPr="009B4C1E">
              <w:rPr>
                <w:b w:val="0"/>
                <w:bCs/>
                <w:webHidden/>
              </w:rPr>
              <w:tab/>
            </w:r>
            <w:r w:rsidR="009B4C1E" w:rsidRPr="009B4C1E">
              <w:rPr>
                <w:b w:val="0"/>
                <w:bCs/>
                <w:webHidden/>
              </w:rPr>
              <w:fldChar w:fldCharType="begin"/>
            </w:r>
            <w:r w:rsidR="009B4C1E" w:rsidRPr="009B4C1E">
              <w:rPr>
                <w:b w:val="0"/>
                <w:bCs/>
                <w:webHidden/>
              </w:rPr>
              <w:instrText xml:space="preserve"> PAGEREF _Toc59045897 \h </w:instrText>
            </w:r>
            <w:r w:rsidR="009B4C1E" w:rsidRPr="009B4C1E">
              <w:rPr>
                <w:b w:val="0"/>
                <w:bCs/>
                <w:webHidden/>
              </w:rPr>
            </w:r>
            <w:r w:rsidR="009B4C1E" w:rsidRPr="009B4C1E">
              <w:rPr>
                <w:b w:val="0"/>
                <w:bCs/>
                <w:webHidden/>
              </w:rPr>
              <w:fldChar w:fldCharType="separate"/>
            </w:r>
            <w:r w:rsidR="0096252A">
              <w:rPr>
                <w:b w:val="0"/>
                <w:bCs/>
                <w:webHidden/>
              </w:rPr>
              <w:t>47</w:t>
            </w:r>
            <w:r w:rsidR="009B4C1E" w:rsidRPr="009B4C1E">
              <w:rPr>
                <w:b w:val="0"/>
                <w:bCs/>
                <w:webHidden/>
              </w:rPr>
              <w:fldChar w:fldCharType="end"/>
            </w:r>
          </w:hyperlink>
        </w:p>
        <w:p w14:paraId="0E6E2764" w14:textId="59CD37DD" w:rsidR="00943202" w:rsidRDefault="00F46DFA" w:rsidP="00D44B01">
          <w:pPr>
            <w:jc w:val="both"/>
          </w:pPr>
          <w:r>
            <w:rPr>
              <w:rFonts w:ascii="Arial" w:hAnsi="Arial" w:cs="Arial"/>
              <w:b/>
              <w:noProof/>
            </w:rPr>
            <w:fldChar w:fldCharType="end"/>
          </w:r>
        </w:p>
      </w:sdtContent>
    </w:sdt>
    <w:p w14:paraId="02C2322E" w14:textId="52604E58" w:rsidR="001E51BA" w:rsidRPr="00B43B5C" w:rsidRDefault="00B43B5C" w:rsidP="00B43B5C">
      <w:pPr>
        <w:pStyle w:val="Heading1"/>
        <w:spacing w:after="240"/>
        <w:jc w:val="both"/>
      </w:pPr>
      <w:r>
        <w:br w:type="page"/>
      </w:r>
      <w:bookmarkStart w:id="0" w:name="_Toc59045873"/>
      <w:r w:rsidR="00214B18">
        <w:lastRenderedPageBreak/>
        <w:t>Executive summary</w:t>
      </w:r>
      <w:bookmarkEnd w:id="0"/>
      <w:r w:rsidR="001E51BA" w:rsidRPr="00014552">
        <w:t xml:space="preserve"> </w:t>
      </w:r>
    </w:p>
    <w:p w14:paraId="189D8DA5" w14:textId="00437E14" w:rsidR="0035225B" w:rsidRDefault="00F31F76" w:rsidP="00053061">
      <w:pPr>
        <w:pStyle w:val="NoSpacing"/>
        <w:spacing w:after="120" w:line="276" w:lineRule="auto"/>
        <w:jc w:val="both"/>
        <w:rPr>
          <w:rFonts w:ascii="Arial" w:hAnsi="Arial" w:cs="Arial"/>
        </w:rPr>
      </w:pPr>
      <w:r w:rsidRPr="00014552">
        <w:rPr>
          <w:rFonts w:ascii="Arial" w:hAnsi="Arial" w:cs="Arial"/>
        </w:rPr>
        <w:t xml:space="preserve">Women’s Health Victoria (WHV) welcomes the opportunity to provide </w:t>
      </w:r>
      <w:r w:rsidR="0035225B">
        <w:rPr>
          <w:rFonts w:ascii="Arial" w:hAnsi="Arial" w:cs="Arial"/>
        </w:rPr>
        <w:t>a submission</w:t>
      </w:r>
      <w:r w:rsidRPr="00014552">
        <w:rPr>
          <w:rFonts w:ascii="Arial" w:hAnsi="Arial" w:cs="Arial"/>
        </w:rPr>
        <w:t xml:space="preserve"> </w:t>
      </w:r>
      <w:r w:rsidR="00DB5C2A" w:rsidRPr="00014552">
        <w:rPr>
          <w:rFonts w:ascii="Arial" w:hAnsi="Arial" w:cs="Arial"/>
        </w:rPr>
        <w:t xml:space="preserve">to inform the development of the </w:t>
      </w:r>
      <w:r w:rsidR="00CB4BF1">
        <w:rPr>
          <w:rFonts w:ascii="Arial" w:hAnsi="Arial" w:cs="Arial"/>
        </w:rPr>
        <w:t xml:space="preserve">next </w:t>
      </w:r>
      <w:r w:rsidR="00DB5C2A" w:rsidRPr="00014552">
        <w:rPr>
          <w:rFonts w:ascii="Arial" w:hAnsi="Arial" w:cs="Arial"/>
        </w:rPr>
        <w:t xml:space="preserve">Victorian Youth </w:t>
      </w:r>
      <w:r w:rsidR="003077D7" w:rsidRPr="00014552">
        <w:rPr>
          <w:rFonts w:ascii="Arial" w:hAnsi="Arial" w:cs="Arial"/>
        </w:rPr>
        <w:t>Strategy</w:t>
      </w:r>
      <w:r w:rsidR="00DB5C2A" w:rsidRPr="00014552">
        <w:rPr>
          <w:rFonts w:ascii="Arial" w:hAnsi="Arial" w:cs="Arial"/>
        </w:rPr>
        <w:t xml:space="preserve">. </w:t>
      </w:r>
      <w:r w:rsidR="00B43B5C">
        <w:rPr>
          <w:rFonts w:ascii="Arial" w:hAnsi="Arial" w:cs="Arial"/>
        </w:rPr>
        <w:t xml:space="preserve">WHV is a statewide feminist </w:t>
      </w:r>
      <w:r w:rsidR="00B43B5C" w:rsidRPr="00B43B5C">
        <w:rPr>
          <w:rFonts w:ascii="Arial" w:hAnsi="Arial" w:cs="Arial"/>
        </w:rPr>
        <w:t xml:space="preserve">health promotion, advocacy and support service with a proud history of over 25 years. We advocate and build system capacity for a gendered approach to health that reduces inequalities and improves health outcomes for Victorian women. </w:t>
      </w:r>
      <w:r w:rsidR="00B43B5C">
        <w:rPr>
          <w:rFonts w:ascii="Arial" w:hAnsi="Arial" w:cs="Arial"/>
        </w:rPr>
        <w:t>W</w:t>
      </w:r>
      <w:r w:rsidRPr="00014552">
        <w:rPr>
          <w:rFonts w:ascii="Arial" w:hAnsi="Arial" w:cs="Arial"/>
        </w:rPr>
        <w:t xml:space="preserve">e collaborate with health professionals, researchers, policy makers, service providers and community organisations to influence and inform health policy and service delivery for women. </w:t>
      </w:r>
      <w:r w:rsidR="009C123F">
        <w:rPr>
          <w:rFonts w:ascii="Arial" w:hAnsi="Arial" w:cs="Arial"/>
        </w:rPr>
        <w:t>W</w:t>
      </w:r>
      <w:r w:rsidR="00B43B5C">
        <w:rPr>
          <w:rFonts w:ascii="Arial" w:hAnsi="Arial" w:cs="Arial"/>
        </w:rPr>
        <w:t>HV</w:t>
      </w:r>
      <w:r w:rsidR="009C123F">
        <w:rPr>
          <w:rFonts w:ascii="Arial" w:hAnsi="Arial" w:cs="Arial"/>
        </w:rPr>
        <w:t xml:space="preserve"> also operates </w:t>
      </w:r>
      <w:r w:rsidR="009C123F" w:rsidRPr="009B5935">
        <w:rPr>
          <w:rFonts w:ascii="Arial" w:hAnsi="Arial" w:cs="Arial"/>
          <w:i/>
          <w:iCs/>
        </w:rPr>
        <w:t>1800 My Options</w:t>
      </w:r>
      <w:r w:rsidR="009C123F">
        <w:rPr>
          <w:rFonts w:ascii="Arial" w:hAnsi="Arial" w:cs="Arial"/>
        </w:rPr>
        <w:t>, a s</w:t>
      </w:r>
      <w:r w:rsidR="009B5935">
        <w:rPr>
          <w:rFonts w:ascii="Arial" w:hAnsi="Arial" w:cs="Arial"/>
        </w:rPr>
        <w:t>t</w:t>
      </w:r>
      <w:r w:rsidR="009C123F">
        <w:rPr>
          <w:rFonts w:ascii="Arial" w:hAnsi="Arial" w:cs="Arial"/>
        </w:rPr>
        <w:t xml:space="preserve">atewide information and referral service for pregnancy, contraception and sexual health options. </w:t>
      </w:r>
    </w:p>
    <w:p w14:paraId="0C83D7AF" w14:textId="71EA48B0" w:rsidR="00F64AAC" w:rsidRDefault="003077D7" w:rsidP="00053061">
      <w:pPr>
        <w:pStyle w:val="NoSpacing"/>
        <w:spacing w:after="120" w:line="276" w:lineRule="auto"/>
        <w:jc w:val="both"/>
        <w:rPr>
          <w:rFonts w:ascii="Arial" w:hAnsi="Arial" w:cs="Arial"/>
        </w:rPr>
      </w:pPr>
      <w:r w:rsidRPr="00014552">
        <w:rPr>
          <w:rFonts w:ascii="Arial" w:hAnsi="Arial" w:cs="Arial"/>
        </w:rPr>
        <w:t>This</w:t>
      </w:r>
      <w:r w:rsidR="00F31F76" w:rsidRPr="00014552">
        <w:rPr>
          <w:rFonts w:ascii="Arial" w:hAnsi="Arial" w:cs="Arial"/>
        </w:rPr>
        <w:t xml:space="preserve"> submission </w:t>
      </w:r>
      <w:r w:rsidR="009B5935">
        <w:rPr>
          <w:rFonts w:ascii="Arial" w:hAnsi="Arial" w:cs="Arial"/>
        </w:rPr>
        <w:t>focuses on the</w:t>
      </w:r>
      <w:r w:rsidR="00F64AAC">
        <w:rPr>
          <w:rFonts w:ascii="Arial" w:hAnsi="Arial" w:cs="Arial"/>
        </w:rPr>
        <w:t xml:space="preserve"> following </w:t>
      </w:r>
      <w:r w:rsidRPr="00014552">
        <w:rPr>
          <w:rFonts w:ascii="Arial" w:hAnsi="Arial" w:cs="Arial"/>
        </w:rPr>
        <w:t>outcomes identified in the discussion paper</w:t>
      </w:r>
      <w:r w:rsidR="00F64AAC">
        <w:rPr>
          <w:rFonts w:ascii="Arial" w:hAnsi="Arial" w:cs="Arial"/>
        </w:rPr>
        <w:t xml:space="preserve">, </w:t>
      </w:r>
      <w:r w:rsidR="00F64AAC" w:rsidRPr="00F64AAC">
        <w:rPr>
          <w:rFonts w:ascii="Arial" w:hAnsi="Arial" w:cs="Arial"/>
          <w:i/>
          <w:iCs/>
        </w:rPr>
        <w:t>What matters to young people in Victoria</w:t>
      </w:r>
      <w:r w:rsidR="00F64AAC">
        <w:rPr>
          <w:rFonts w:ascii="Arial" w:hAnsi="Arial" w:cs="Arial"/>
        </w:rPr>
        <w:t xml:space="preserve">:  </w:t>
      </w:r>
    </w:p>
    <w:p w14:paraId="782B5317" w14:textId="26845306" w:rsidR="00F64AAC" w:rsidRDefault="003077D7" w:rsidP="00053061">
      <w:pPr>
        <w:pStyle w:val="NoSpacing"/>
        <w:numPr>
          <w:ilvl w:val="0"/>
          <w:numId w:val="12"/>
        </w:numPr>
        <w:spacing w:line="276" w:lineRule="auto"/>
        <w:ind w:left="714" w:hanging="357"/>
        <w:jc w:val="both"/>
        <w:rPr>
          <w:rFonts w:ascii="Arial" w:hAnsi="Arial" w:cs="Arial"/>
        </w:rPr>
      </w:pPr>
      <w:r w:rsidRPr="00014552">
        <w:rPr>
          <w:rFonts w:ascii="Arial" w:hAnsi="Arial" w:cs="Arial"/>
          <w:i/>
          <w:iCs/>
        </w:rPr>
        <w:t>Victorian young people are healthy and well, mentally and physically</w:t>
      </w:r>
      <w:r w:rsidRPr="00014552">
        <w:rPr>
          <w:rFonts w:ascii="Arial" w:hAnsi="Arial" w:cs="Arial"/>
        </w:rPr>
        <w:t xml:space="preserve"> and  </w:t>
      </w:r>
    </w:p>
    <w:p w14:paraId="10A9BF3B" w14:textId="1B253325" w:rsidR="009C123F" w:rsidRDefault="003077D7" w:rsidP="00053061">
      <w:pPr>
        <w:pStyle w:val="NoSpacing"/>
        <w:numPr>
          <w:ilvl w:val="0"/>
          <w:numId w:val="12"/>
        </w:numPr>
        <w:spacing w:line="276" w:lineRule="auto"/>
        <w:ind w:left="714" w:hanging="357"/>
        <w:jc w:val="both"/>
        <w:rPr>
          <w:rFonts w:ascii="Arial" w:hAnsi="Arial" w:cs="Arial"/>
        </w:rPr>
      </w:pPr>
      <w:r w:rsidRPr="00014552">
        <w:rPr>
          <w:rFonts w:ascii="Arial" w:hAnsi="Arial" w:cs="Arial"/>
          <w:i/>
          <w:iCs/>
        </w:rPr>
        <w:t>Victorian young people are safe, experience equality of opportunity and are treated fairly</w:t>
      </w:r>
      <w:r w:rsidR="00F31F76" w:rsidRPr="00014552">
        <w:rPr>
          <w:rFonts w:ascii="Arial" w:hAnsi="Arial" w:cs="Arial"/>
        </w:rPr>
        <w:t xml:space="preserve">. </w:t>
      </w:r>
    </w:p>
    <w:p w14:paraId="51B92A87" w14:textId="17655319" w:rsidR="00F64AAC" w:rsidRDefault="00A340DB" w:rsidP="00053061">
      <w:pPr>
        <w:pStyle w:val="NoSpacing"/>
        <w:spacing w:before="120" w:line="276" w:lineRule="auto"/>
        <w:jc w:val="both"/>
        <w:rPr>
          <w:rFonts w:ascii="Arial" w:hAnsi="Arial" w:cs="Arial"/>
        </w:rPr>
      </w:pPr>
      <w:r w:rsidRPr="00014552">
        <w:rPr>
          <w:rFonts w:ascii="Arial" w:hAnsi="Arial" w:cs="Arial"/>
        </w:rPr>
        <w:t>Th</w:t>
      </w:r>
      <w:r w:rsidR="00B43B5C">
        <w:rPr>
          <w:rFonts w:ascii="Arial" w:hAnsi="Arial" w:cs="Arial"/>
        </w:rPr>
        <w:t>e</w:t>
      </w:r>
      <w:r w:rsidRPr="00014552">
        <w:rPr>
          <w:rFonts w:ascii="Arial" w:hAnsi="Arial" w:cs="Arial"/>
        </w:rPr>
        <w:t xml:space="preserve"> submission </w:t>
      </w:r>
      <w:r w:rsidR="00B43B5C">
        <w:rPr>
          <w:rFonts w:ascii="Arial" w:hAnsi="Arial" w:cs="Arial"/>
        </w:rPr>
        <w:t xml:space="preserve">largely </w:t>
      </w:r>
      <w:r w:rsidRPr="00014552">
        <w:rPr>
          <w:rFonts w:ascii="Arial" w:hAnsi="Arial" w:cs="Arial"/>
        </w:rPr>
        <w:t xml:space="preserve">focuses on the experiences of young women, acknowledging the gender inequalities that persist across all aspects of a young woman’s life and </w:t>
      </w:r>
      <w:r w:rsidR="00B43B5C">
        <w:rPr>
          <w:rFonts w:ascii="Arial" w:hAnsi="Arial" w:cs="Arial"/>
        </w:rPr>
        <w:t>influence</w:t>
      </w:r>
      <w:r w:rsidRPr="00014552">
        <w:rPr>
          <w:rFonts w:ascii="Arial" w:hAnsi="Arial" w:cs="Arial"/>
        </w:rPr>
        <w:t xml:space="preserve"> young women’s overall health and wellbeing. </w:t>
      </w:r>
      <w:r w:rsidR="00410551" w:rsidRPr="00014552">
        <w:rPr>
          <w:rFonts w:ascii="Arial" w:hAnsi="Arial" w:cs="Arial"/>
        </w:rPr>
        <w:t>Research clearly shows that girls and boys are subject to different expectations and pressures during adolescence and that between the ages of 10 and 20, young women’s experiences and health outcomes can differ significantly from those of their male peers</w:t>
      </w:r>
      <w:r w:rsidR="009B5935">
        <w:rPr>
          <w:rFonts w:ascii="Arial" w:hAnsi="Arial" w:cs="Arial"/>
        </w:rPr>
        <w:t>.</w:t>
      </w:r>
      <w:r w:rsidR="00BE3D26">
        <w:rPr>
          <w:rStyle w:val="FootnoteReference"/>
          <w:rFonts w:ascii="Arial" w:hAnsi="Arial" w:cs="Arial"/>
        </w:rPr>
        <w:footnoteReference w:id="2"/>
      </w:r>
      <w:r w:rsidR="00BE3D26">
        <w:rPr>
          <w:rFonts w:ascii="Arial" w:hAnsi="Arial" w:cs="Arial"/>
        </w:rPr>
        <w:t xml:space="preserve"> </w:t>
      </w:r>
      <w:r w:rsidR="00410551" w:rsidRPr="00014552">
        <w:rPr>
          <w:rFonts w:ascii="Arial" w:hAnsi="Arial" w:cs="Arial"/>
        </w:rPr>
        <w:t>For example</w:t>
      </w:r>
      <w:r w:rsidR="009B5935">
        <w:rPr>
          <w:rFonts w:ascii="Arial" w:hAnsi="Arial" w:cs="Arial"/>
        </w:rPr>
        <w:t>,</w:t>
      </w:r>
      <w:r w:rsidR="00410551" w:rsidRPr="00014552">
        <w:rPr>
          <w:rFonts w:ascii="Arial" w:hAnsi="Arial" w:cs="Arial"/>
        </w:rPr>
        <w:t xml:space="preserve"> young women experience higher rates of </w:t>
      </w:r>
      <w:r w:rsidR="00214B18">
        <w:rPr>
          <w:rFonts w:ascii="Arial" w:hAnsi="Arial" w:cs="Arial"/>
        </w:rPr>
        <w:t>relationship</w:t>
      </w:r>
      <w:r w:rsidR="00410551" w:rsidRPr="00014552">
        <w:rPr>
          <w:rFonts w:ascii="Arial" w:hAnsi="Arial" w:cs="Arial"/>
        </w:rPr>
        <w:t xml:space="preserve"> violence and sexual harassment than young men</w:t>
      </w:r>
      <w:r w:rsidR="009B5935">
        <w:rPr>
          <w:rFonts w:ascii="Arial" w:hAnsi="Arial" w:cs="Arial"/>
        </w:rPr>
        <w:t>,</w:t>
      </w:r>
      <w:r w:rsidR="00410551" w:rsidRPr="00014552">
        <w:rPr>
          <w:rFonts w:ascii="Arial" w:hAnsi="Arial" w:cs="Arial"/>
        </w:rPr>
        <w:t xml:space="preserve"> </w:t>
      </w:r>
      <w:r w:rsidR="00B43B5C">
        <w:rPr>
          <w:rFonts w:ascii="Arial" w:hAnsi="Arial" w:cs="Arial"/>
        </w:rPr>
        <w:t xml:space="preserve">they </w:t>
      </w:r>
      <w:r w:rsidR="00410551" w:rsidRPr="00014552">
        <w:rPr>
          <w:rFonts w:ascii="Arial" w:hAnsi="Arial" w:cs="Arial"/>
        </w:rPr>
        <w:t>face greater body image pressures than young men impacting their overall sense of value and wellbeing and</w:t>
      </w:r>
      <w:r w:rsidR="00F034ED" w:rsidRPr="00014552">
        <w:rPr>
          <w:rFonts w:ascii="Arial" w:hAnsi="Arial" w:cs="Arial"/>
        </w:rPr>
        <w:t>,</w:t>
      </w:r>
      <w:r w:rsidR="00410551" w:rsidRPr="00014552">
        <w:rPr>
          <w:rFonts w:ascii="Arial" w:hAnsi="Arial" w:cs="Arial"/>
        </w:rPr>
        <w:t xml:space="preserve"> </w:t>
      </w:r>
      <w:r w:rsidR="00410551" w:rsidRPr="00014552">
        <w:rPr>
          <w:rFonts w:ascii="Arial" w:eastAsiaTheme="minorHAnsi" w:hAnsi="Arial" w:cs="Arial"/>
        </w:rPr>
        <w:t>during adolescence, young women's mental health outcomes worsen compared with young men.</w:t>
      </w:r>
      <w:r w:rsidR="00410551" w:rsidRPr="00014552">
        <w:rPr>
          <w:rFonts w:ascii="Arial" w:hAnsi="Arial" w:cs="Arial"/>
        </w:rPr>
        <w:t xml:space="preserve"> </w:t>
      </w:r>
    </w:p>
    <w:p w14:paraId="29209C71" w14:textId="13BD2C58" w:rsidR="00835E0E" w:rsidRDefault="009B5935" w:rsidP="00053061">
      <w:pPr>
        <w:pStyle w:val="NoSpacing"/>
        <w:spacing w:before="120" w:after="120" w:line="276" w:lineRule="auto"/>
        <w:jc w:val="both"/>
        <w:rPr>
          <w:rFonts w:ascii="Arial" w:hAnsi="Arial" w:cs="Arial"/>
        </w:rPr>
      </w:pPr>
      <w:r>
        <w:rPr>
          <w:rFonts w:ascii="Arial" w:hAnsi="Arial" w:cs="Arial"/>
        </w:rPr>
        <w:t xml:space="preserve">A gender </w:t>
      </w:r>
      <w:r w:rsidR="00EE78EE">
        <w:rPr>
          <w:rFonts w:ascii="Arial" w:hAnsi="Arial" w:cs="Arial"/>
        </w:rPr>
        <w:t>analysis</w:t>
      </w:r>
      <w:r w:rsidR="006650C3" w:rsidRPr="00014552">
        <w:rPr>
          <w:rFonts w:ascii="Arial" w:hAnsi="Arial" w:cs="Arial"/>
        </w:rPr>
        <w:t xml:space="preserve"> should be applied across all elements of </w:t>
      </w:r>
      <w:r>
        <w:rPr>
          <w:rFonts w:ascii="Arial" w:hAnsi="Arial" w:cs="Arial"/>
        </w:rPr>
        <w:t>the</w:t>
      </w:r>
      <w:r w:rsidR="006650C3" w:rsidRPr="00014552">
        <w:rPr>
          <w:rFonts w:ascii="Arial" w:hAnsi="Arial" w:cs="Arial"/>
        </w:rPr>
        <w:t xml:space="preserve"> youth strategy acknowledging that gender </w:t>
      </w:r>
      <w:r w:rsidR="00F64AAC">
        <w:rPr>
          <w:rFonts w:ascii="Arial" w:hAnsi="Arial" w:cs="Arial"/>
        </w:rPr>
        <w:t>in</w:t>
      </w:r>
      <w:r w:rsidR="006650C3" w:rsidRPr="00014552">
        <w:rPr>
          <w:rFonts w:ascii="Arial" w:hAnsi="Arial" w:cs="Arial"/>
        </w:rPr>
        <w:t>equ</w:t>
      </w:r>
      <w:r>
        <w:rPr>
          <w:rFonts w:ascii="Arial" w:hAnsi="Arial" w:cs="Arial"/>
        </w:rPr>
        <w:t>al</w:t>
      </w:r>
      <w:r w:rsidR="00F64AAC">
        <w:rPr>
          <w:rFonts w:ascii="Arial" w:hAnsi="Arial" w:cs="Arial"/>
        </w:rPr>
        <w:t>ity</w:t>
      </w:r>
      <w:r w:rsidR="006650C3" w:rsidRPr="00014552">
        <w:rPr>
          <w:rFonts w:ascii="Arial" w:hAnsi="Arial" w:cs="Arial"/>
        </w:rPr>
        <w:t xml:space="preserve"> </w:t>
      </w:r>
      <w:r>
        <w:rPr>
          <w:rFonts w:ascii="Arial" w:hAnsi="Arial" w:cs="Arial"/>
        </w:rPr>
        <w:t>impacts young people</w:t>
      </w:r>
      <w:r w:rsidR="006650C3" w:rsidRPr="00014552">
        <w:rPr>
          <w:rFonts w:ascii="Arial" w:hAnsi="Arial" w:cs="Arial"/>
        </w:rPr>
        <w:t xml:space="preserve"> across all areas of life (</w:t>
      </w:r>
      <w:r>
        <w:rPr>
          <w:rFonts w:ascii="Arial" w:hAnsi="Arial" w:cs="Arial"/>
        </w:rPr>
        <w:t>e.g.</w:t>
      </w:r>
      <w:r w:rsidR="006650C3" w:rsidRPr="00014552">
        <w:rPr>
          <w:rFonts w:ascii="Arial" w:hAnsi="Arial" w:cs="Arial"/>
        </w:rPr>
        <w:t xml:space="preserve"> education, housing, employment, relationships, access to health care). </w:t>
      </w:r>
      <w:r w:rsidR="009F5667" w:rsidRPr="00A26ADD">
        <w:rPr>
          <w:rFonts w:ascii="Arial" w:hAnsi="Arial" w:cs="Arial"/>
          <w:color w:val="000000"/>
          <w:lang w:eastAsia="en-AU"/>
        </w:rPr>
        <w:t xml:space="preserve">Mission Australia’s 2020 </w:t>
      </w:r>
      <w:r w:rsidR="00E779F6">
        <w:rPr>
          <w:rFonts w:ascii="Arial" w:hAnsi="Arial" w:cs="Arial"/>
          <w:color w:val="000000"/>
          <w:lang w:eastAsia="en-AU"/>
        </w:rPr>
        <w:t xml:space="preserve">Youth </w:t>
      </w:r>
      <w:r w:rsidR="009F5667" w:rsidRPr="00A26ADD">
        <w:rPr>
          <w:rFonts w:ascii="Arial" w:hAnsi="Arial" w:cs="Arial"/>
          <w:color w:val="000000"/>
          <w:lang w:eastAsia="en-AU"/>
        </w:rPr>
        <w:t xml:space="preserve">Survey found that ‘equity and discrimination’ was the top reported national issue for young people. Nearly half the young women surveyed reported being treated unfairly due to their gender (48% compared with 22.5% of young men). </w:t>
      </w:r>
      <w:r w:rsidR="00835E0E" w:rsidRPr="00014552">
        <w:rPr>
          <w:rFonts w:ascii="Arial" w:hAnsi="Arial" w:cs="Arial"/>
        </w:rPr>
        <w:t>W</w:t>
      </w:r>
      <w:r w:rsidR="00EE78EE">
        <w:rPr>
          <w:rFonts w:ascii="Arial" w:hAnsi="Arial" w:cs="Arial"/>
        </w:rPr>
        <w:t>HV</w:t>
      </w:r>
      <w:r w:rsidR="00835E0E" w:rsidRPr="00014552">
        <w:rPr>
          <w:rFonts w:ascii="Arial" w:hAnsi="Arial" w:cs="Arial"/>
        </w:rPr>
        <w:t xml:space="preserve"> supports a whole of government approach to </w:t>
      </w:r>
      <w:r w:rsidR="00EE78EE">
        <w:rPr>
          <w:rFonts w:ascii="Arial" w:hAnsi="Arial" w:cs="Arial"/>
        </w:rPr>
        <w:t>the</w:t>
      </w:r>
      <w:r w:rsidR="00835E0E" w:rsidRPr="00014552">
        <w:rPr>
          <w:rFonts w:ascii="Arial" w:hAnsi="Arial" w:cs="Arial"/>
        </w:rPr>
        <w:t xml:space="preserve"> Victoria</w:t>
      </w:r>
      <w:r w:rsidR="00835E0E">
        <w:rPr>
          <w:rFonts w:ascii="Arial" w:hAnsi="Arial" w:cs="Arial"/>
        </w:rPr>
        <w:t>n</w:t>
      </w:r>
      <w:r w:rsidR="00835E0E" w:rsidRPr="00014552">
        <w:rPr>
          <w:rFonts w:ascii="Arial" w:hAnsi="Arial" w:cs="Arial"/>
        </w:rPr>
        <w:t xml:space="preserve"> Youth Strategy, acknowledging </w:t>
      </w:r>
      <w:r w:rsidR="00EE78EE">
        <w:rPr>
          <w:rFonts w:ascii="Arial" w:hAnsi="Arial" w:cs="Arial"/>
        </w:rPr>
        <w:t xml:space="preserve">the </w:t>
      </w:r>
      <w:r w:rsidR="00835E0E" w:rsidRPr="00014552">
        <w:rPr>
          <w:rFonts w:ascii="Arial" w:hAnsi="Arial" w:cs="Arial"/>
        </w:rPr>
        <w:t xml:space="preserve">importance of </w:t>
      </w:r>
      <w:r w:rsidR="00835E0E">
        <w:rPr>
          <w:rFonts w:ascii="Arial" w:hAnsi="Arial" w:cs="Arial"/>
        </w:rPr>
        <w:t>cross-</w:t>
      </w:r>
      <w:r w:rsidR="00835E0E" w:rsidRPr="00014552">
        <w:rPr>
          <w:rFonts w:ascii="Arial" w:hAnsi="Arial" w:cs="Arial"/>
        </w:rPr>
        <w:t xml:space="preserve">sector coordination and collaboration </w:t>
      </w:r>
      <w:r w:rsidR="00EE78EE">
        <w:rPr>
          <w:rFonts w:ascii="Arial" w:hAnsi="Arial" w:cs="Arial"/>
        </w:rPr>
        <w:t>in taking a holistic approach to improve outcomes across all domains of young people’s lives.</w:t>
      </w:r>
    </w:p>
    <w:p w14:paraId="23D5C584" w14:textId="46B1BFD8" w:rsidR="00835E0E" w:rsidRDefault="00835E0E" w:rsidP="00053061">
      <w:pPr>
        <w:pStyle w:val="NoSpacing"/>
        <w:spacing w:after="120" w:line="276" w:lineRule="auto"/>
        <w:jc w:val="both"/>
        <w:rPr>
          <w:rFonts w:ascii="Arial" w:hAnsi="Arial" w:cs="Arial"/>
        </w:rPr>
      </w:pPr>
      <w:r w:rsidRPr="00014552">
        <w:rPr>
          <w:rFonts w:ascii="Arial" w:hAnsi="Arial" w:cs="Arial"/>
        </w:rPr>
        <w:t>This submission focuse</w:t>
      </w:r>
      <w:r w:rsidR="00EE78EE">
        <w:rPr>
          <w:rFonts w:ascii="Arial" w:hAnsi="Arial" w:cs="Arial"/>
        </w:rPr>
        <w:t>s</w:t>
      </w:r>
      <w:r w:rsidRPr="00014552">
        <w:rPr>
          <w:rFonts w:ascii="Arial" w:hAnsi="Arial" w:cs="Arial"/>
        </w:rPr>
        <w:t xml:space="preserve"> on young women’s mental health, physical </w:t>
      </w:r>
      <w:r w:rsidR="00E779F6">
        <w:rPr>
          <w:rFonts w:ascii="Arial" w:hAnsi="Arial" w:cs="Arial"/>
        </w:rPr>
        <w:t>health</w:t>
      </w:r>
      <w:r w:rsidRPr="00014552">
        <w:rPr>
          <w:rFonts w:ascii="Arial" w:hAnsi="Arial" w:cs="Arial"/>
        </w:rPr>
        <w:t xml:space="preserve">, sexual and reproductive health and </w:t>
      </w:r>
      <w:r>
        <w:rPr>
          <w:rFonts w:ascii="Arial" w:hAnsi="Arial" w:cs="Arial"/>
        </w:rPr>
        <w:t>the prevention of violence against women</w:t>
      </w:r>
      <w:r w:rsidRPr="00014552">
        <w:rPr>
          <w:rFonts w:ascii="Arial" w:hAnsi="Arial" w:cs="Arial"/>
        </w:rPr>
        <w:t xml:space="preserve">, </w:t>
      </w:r>
      <w:r w:rsidR="00EE78EE">
        <w:rPr>
          <w:rFonts w:ascii="Arial" w:hAnsi="Arial" w:cs="Arial"/>
        </w:rPr>
        <w:t>drawing on WHV’s areas of expertise and highlighting the importance of</w:t>
      </w:r>
      <w:r>
        <w:rPr>
          <w:rFonts w:ascii="Arial" w:hAnsi="Arial" w:cs="Arial"/>
        </w:rPr>
        <w:t xml:space="preserve"> </w:t>
      </w:r>
      <w:r w:rsidR="00EE78EE">
        <w:rPr>
          <w:rFonts w:ascii="Arial" w:hAnsi="Arial" w:cs="Arial"/>
        </w:rPr>
        <w:t xml:space="preserve">promoting </w:t>
      </w:r>
      <w:r>
        <w:rPr>
          <w:rFonts w:ascii="Arial" w:hAnsi="Arial" w:cs="Arial"/>
        </w:rPr>
        <w:t xml:space="preserve">gender equality </w:t>
      </w:r>
      <w:r w:rsidR="00EE78EE">
        <w:rPr>
          <w:rFonts w:ascii="Arial" w:hAnsi="Arial" w:cs="Arial"/>
        </w:rPr>
        <w:t>to address</w:t>
      </w:r>
      <w:r>
        <w:rPr>
          <w:rFonts w:ascii="Arial" w:hAnsi="Arial" w:cs="Arial"/>
        </w:rPr>
        <w:t xml:space="preserve"> poor health outcomes across all these areas. </w:t>
      </w:r>
    </w:p>
    <w:p w14:paraId="58D49139" w14:textId="6CEC5CEE" w:rsidR="00BC0649" w:rsidRDefault="004129F0" w:rsidP="00053061">
      <w:pPr>
        <w:pStyle w:val="NoSpacing"/>
        <w:spacing w:after="120" w:line="276" w:lineRule="auto"/>
        <w:jc w:val="both"/>
        <w:rPr>
          <w:rFonts w:ascii="Arial" w:hAnsi="Arial" w:cs="Arial"/>
        </w:rPr>
      </w:pPr>
      <w:r w:rsidRPr="004625CA">
        <w:rPr>
          <w:rFonts w:ascii="Arial" w:hAnsi="Arial" w:cs="Arial"/>
        </w:rPr>
        <w:lastRenderedPageBreak/>
        <w:t>Young women report the highest rates of mental disorder of any population group</w:t>
      </w:r>
      <w:r>
        <w:rPr>
          <w:rFonts w:ascii="Arial" w:hAnsi="Arial" w:cs="Arial"/>
        </w:rPr>
        <w:t>, and their mental health</w:t>
      </w:r>
      <w:r w:rsidR="00EE78EE">
        <w:rPr>
          <w:rFonts w:ascii="Arial" w:hAnsi="Arial" w:cs="Arial"/>
        </w:rPr>
        <w:t xml:space="preserve"> is </w:t>
      </w:r>
      <w:r>
        <w:rPr>
          <w:rFonts w:ascii="Arial" w:hAnsi="Arial" w:cs="Arial"/>
        </w:rPr>
        <w:t xml:space="preserve">directly influenced by gendered inequalities, including gendered experiences of poor </w:t>
      </w:r>
      <w:r w:rsidR="003F57B1">
        <w:rPr>
          <w:rFonts w:ascii="Arial" w:hAnsi="Arial" w:cs="Arial"/>
        </w:rPr>
        <w:t>body image, stress</w:t>
      </w:r>
      <w:r>
        <w:rPr>
          <w:rFonts w:ascii="Arial" w:hAnsi="Arial" w:cs="Arial"/>
        </w:rPr>
        <w:t>,</w:t>
      </w:r>
      <w:r w:rsidR="00FA0BDB">
        <w:rPr>
          <w:rFonts w:ascii="Arial" w:hAnsi="Arial" w:cs="Arial"/>
        </w:rPr>
        <w:t xml:space="preserve"> violence</w:t>
      </w:r>
      <w:r w:rsidR="003F57B1">
        <w:rPr>
          <w:rFonts w:ascii="Arial" w:hAnsi="Arial" w:cs="Arial"/>
        </w:rPr>
        <w:t xml:space="preserve"> and help seeking. </w:t>
      </w:r>
      <w:r w:rsidR="00CE2111">
        <w:rPr>
          <w:rFonts w:ascii="Arial" w:hAnsi="Arial" w:cs="Arial"/>
        </w:rPr>
        <w:t xml:space="preserve">There needs to be </w:t>
      </w:r>
      <w:r w:rsidR="00BC0649">
        <w:rPr>
          <w:rFonts w:ascii="Arial" w:hAnsi="Arial" w:cs="Arial"/>
        </w:rPr>
        <w:t>an increased</w:t>
      </w:r>
      <w:r w:rsidR="00CE2111">
        <w:rPr>
          <w:rFonts w:ascii="Arial" w:hAnsi="Arial" w:cs="Arial"/>
        </w:rPr>
        <w:t xml:space="preserve"> emphasis </w:t>
      </w:r>
      <w:r>
        <w:rPr>
          <w:rFonts w:ascii="Arial" w:hAnsi="Arial" w:cs="Arial"/>
        </w:rPr>
        <w:t xml:space="preserve">on addressing gender inequality </w:t>
      </w:r>
      <w:r w:rsidR="001E2C4F">
        <w:rPr>
          <w:rFonts w:ascii="Arial" w:hAnsi="Arial" w:cs="Arial"/>
        </w:rPr>
        <w:t xml:space="preserve">across all aspects of young women’s lives, </w:t>
      </w:r>
      <w:r>
        <w:rPr>
          <w:rFonts w:ascii="Arial" w:hAnsi="Arial" w:cs="Arial"/>
        </w:rPr>
        <w:t>as an underlying driver of negative mental health outcomes among young women</w:t>
      </w:r>
      <w:r w:rsidR="00CE2111">
        <w:rPr>
          <w:rFonts w:ascii="Arial" w:hAnsi="Arial" w:cs="Arial"/>
        </w:rPr>
        <w:t>.</w:t>
      </w:r>
      <w:r w:rsidR="00E779F6">
        <w:rPr>
          <w:rFonts w:ascii="Arial" w:hAnsi="Arial" w:cs="Arial"/>
        </w:rPr>
        <w:t xml:space="preserve"> </w:t>
      </w:r>
      <w:r w:rsidR="00EE78EE">
        <w:rPr>
          <w:rFonts w:ascii="Arial" w:hAnsi="Arial" w:cs="Arial"/>
        </w:rPr>
        <w:t xml:space="preserve">There is </w:t>
      </w:r>
      <w:r>
        <w:rPr>
          <w:rFonts w:ascii="Arial" w:hAnsi="Arial" w:cs="Arial"/>
        </w:rPr>
        <w:t xml:space="preserve">also a need for investment in gender-sensitive and trauma-informed </w:t>
      </w:r>
      <w:r w:rsidR="00EE78EE">
        <w:rPr>
          <w:rFonts w:ascii="Arial" w:hAnsi="Arial" w:cs="Arial"/>
        </w:rPr>
        <w:t xml:space="preserve">services and programs that </w:t>
      </w:r>
      <w:r>
        <w:rPr>
          <w:rFonts w:ascii="Arial" w:hAnsi="Arial" w:cs="Arial"/>
        </w:rPr>
        <w:t xml:space="preserve">specifically </w:t>
      </w:r>
      <w:r w:rsidR="00EE78EE">
        <w:rPr>
          <w:rFonts w:ascii="Arial" w:hAnsi="Arial" w:cs="Arial"/>
        </w:rPr>
        <w:t xml:space="preserve">address young women’s mental health </w:t>
      </w:r>
      <w:r>
        <w:rPr>
          <w:rFonts w:ascii="Arial" w:hAnsi="Arial" w:cs="Arial"/>
        </w:rPr>
        <w:t>needs, in order to address the</w:t>
      </w:r>
      <w:r w:rsidR="00EE78EE">
        <w:rPr>
          <w:rFonts w:ascii="Arial" w:hAnsi="Arial" w:cs="Arial"/>
        </w:rPr>
        <w:t xml:space="preserve"> high rates </w:t>
      </w:r>
      <w:r>
        <w:rPr>
          <w:rFonts w:ascii="Arial" w:hAnsi="Arial" w:cs="Arial"/>
        </w:rPr>
        <w:t>of</w:t>
      </w:r>
      <w:r w:rsidR="00EE78EE">
        <w:rPr>
          <w:rFonts w:ascii="Arial" w:hAnsi="Arial" w:cs="Arial"/>
        </w:rPr>
        <w:t xml:space="preserve"> depression and anxiety, eating disorders</w:t>
      </w:r>
      <w:r>
        <w:rPr>
          <w:rFonts w:ascii="Arial" w:hAnsi="Arial" w:cs="Arial"/>
        </w:rPr>
        <w:t xml:space="preserve"> and</w:t>
      </w:r>
      <w:r w:rsidRPr="004129F0">
        <w:rPr>
          <w:rFonts w:ascii="Arial" w:hAnsi="Arial" w:cs="Arial"/>
        </w:rPr>
        <w:t xml:space="preserve"> </w:t>
      </w:r>
      <w:r>
        <w:rPr>
          <w:rFonts w:ascii="Arial" w:hAnsi="Arial" w:cs="Arial"/>
        </w:rPr>
        <w:t>self-harm</w:t>
      </w:r>
      <w:r w:rsidR="00EE78EE">
        <w:rPr>
          <w:rFonts w:ascii="Arial" w:hAnsi="Arial" w:cs="Arial"/>
        </w:rPr>
        <w:t xml:space="preserve">, </w:t>
      </w:r>
      <w:r>
        <w:rPr>
          <w:rFonts w:ascii="Arial" w:hAnsi="Arial" w:cs="Arial"/>
        </w:rPr>
        <w:t xml:space="preserve">and </w:t>
      </w:r>
      <w:r w:rsidR="00EE78EE">
        <w:rPr>
          <w:rFonts w:ascii="Arial" w:hAnsi="Arial" w:cs="Arial"/>
        </w:rPr>
        <w:t xml:space="preserve">increasing suicide rates among young women. </w:t>
      </w:r>
    </w:p>
    <w:p w14:paraId="73B7CFF6" w14:textId="46AABCB9" w:rsidR="00E27C59" w:rsidRDefault="004C2BCC" w:rsidP="00053061">
      <w:pPr>
        <w:pStyle w:val="NoSpacing"/>
        <w:spacing w:after="120" w:line="276" w:lineRule="auto"/>
        <w:jc w:val="both"/>
        <w:rPr>
          <w:rFonts w:ascii="Arial" w:hAnsi="Arial" w:cs="Arial"/>
        </w:rPr>
      </w:pPr>
      <w:r>
        <w:rPr>
          <w:rFonts w:ascii="Arial" w:hAnsi="Arial" w:cs="Arial"/>
        </w:rPr>
        <w:t>Young women’s</w:t>
      </w:r>
      <w:r w:rsidR="00BC0649">
        <w:rPr>
          <w:rFonts w:ascii="Arial" w:hAnsi="Arial" w:cs="Arial"/>
        </w:rPr>
        <w:t xml:space="preserve"> </w:t>
      </w:r>
      <w:r w:rsidR="001E2C4F">
        <w:rPr>
          <w:rFonts w:ascii="Arial" w:hAnsi="Arial" w:cs="Arial"/>
        </w:rPr>
        <w:t>p</w:t>
      </w:r>
      <w:r w:rsidR="00BC0649">
        <w:rPr>
          <w:rFonts w:ascii="Arial" w:hAnsi="Arial" w:cs="Arial"/>
        </w:rPr>
        <w:t xml:space="preserve">hysical </w:t>
      </w:r>
      <w:r w:rsidR="001E2C4F">
        <w:rPr>
          <w:rFonts w:ascii="Arial" w:hAnsi="Arial" w:cs="Arial"/>
        </w:rPr>
        <w:t>h</w:t>
      </w:r>
      <w:r w:rsidR="00BC0649">
        <w:rPr>
          <w:rFonts w:ascii="Arial" w:hAnsi="Arial" w:cs="Arial"/>
        </w:rPr>
        <w:t>ealth has improved</w:t>
      </w:r>
      <w:r>
        <w:rPr>
          <w:rFonts w:ascii="Arial" w:hAnsi="Arial" w:cs="Arial"/>
        </w:rPr>
        <w:t xml:space="preserve"> in some areas</w:t>
      </w:r>
      <w:r w:rsidR="00FA0BDB">
        <w:rPr>
          <w:rFonts w:ascii="Arial" w:hAnsi="Arial" w:cs="Arial"/>
        </w:rPr>
        <w:t xml:space="preserve"> in recent years</w:t>
      </w:r>
      <w:r>
        <w:rPr>
          <w:rFonts w:ascii="Arial" w:hAnsi="Arial" w:cs="Arial"/>
        </w:rPr>
        <w:t xml:space="preserve">. For example, </w:t>
      </w:r>
      <w:r w:rsidRPr="69CB79AF">
        <w:rPr>
          <w:rFonts w:ascii="Arial" w:hAnsi="Arial" w:cs="Arial"/>
        </w:rPr>
        <w:t xml:space="preserve">young </w:t>
      </w:r>
      <w:r w:rsidRPr="004C2BCC">
        <w:rPr>
          <w:rFonts w:ascii="Arial" w:hAnsi="Arial" w:cs="Arial"/>
        </w:rPr>
        <w:t xml:space="preserve">women’s consumption of alcohol and tobacco </w:t>
      </w:r>
      <w:r w:rsidR="001E2C4F">
        <w:rPr>
          <w:rFonts w:ascii="Arial" w:hAnsi="Arial" w:cs="Arial"/>
        </w:rPr>
        <w:t>has</w:t>
      </w:r>
      <w:r w:rsidRPr="004C2BCC">
        <w:rPr>
          <w:rFonts w:ascii="Arial" w:hAnsi="Arial" w:cs="Arial"/>
        </w:rPr>
        <w:t xml:space="preserve"> declin</w:t>
      </w:r>
      <w:r w:rsidR="001E2C4F">
        <w:rPr>
          <w:rFonts w:ascii="Arial" w:hAnsi="Arial" w:cs="Arial"/>
        </w:rPr>
        <w:t>ed over</w:t>
      </w:r>
      <w:r w:rsidRPr="004C2BCC">
        <w:rPr>
          <w:rFonts w:ascii="Arial" w:hAnsi="Arial" w:cs="Arial"/>
        </w:rPr>
        <w:t xml:space="preserve"> the last decade.</w:t>
      </w:r>
      <w:r w:rsidRPr="004C2BCC">
        <w:rPr>
          <w:rFonts w:ascii="Arial" w:hAnsi="Arial" w:cs="Arial"/>
          <w:vertAlign w:val="superscript"/>
        </w:rPr>
        <w:footnoteReference w:id="3"/>
      </w:r>
      <w:r>
        <w:rPr>
          <w:rFonts w:ascii="Arial" w:hAnsi="Arial" w:cs="Arial"/>
        </w:rPr>
        <w:t xml:space="preserve"> </w:t>
      </w:r>
      <w:r w:rsidR="00F939F8">
        <w:rPr>
          <w:rFonts w:ascii="Arial" w:hAnsi="Arial" w:cs="Arial"/>
        </w:rPr>
        <w:t>Women</w:t>
      </w:r>
      <w:r w:rsidR="009C123F">
        <w:rPr>
          <w:rFonts w:ascii="Arial" w:hAnsi="Arial" w:cs="Arial"/>
        </w:rPr>
        <w:t>’</w:t>
      </w:r>
      <w:r w:rsidR="00F939F8">
        <w:rPr>
          <w:rFonts w:ascii="Arial" w:hAnsi="Arial" w:cs="Arial"/>
        </w:rPr>
        <w:t>s</w:t>
      </w:r>
      <w:r>
        <w:rPr>
          <w:rFonts w:ascii="Arial" w:hAnsi="Arial" w:cs="Arial"/>
        </w:rPr>
        <w:t xml:space="preserve"> participation in sport has </w:t>
      </w:r>
      <w:r w:rsidR="001E2C4F">
        <w:rPr>
          <w:rFonts w:ascii="Arial" w:hAnsi="Arial" w:cs="Arial"/>
        </w:rPr>
        <w:t>i</w:t>
      </w:r>
      <w:r>
        <w:rPr>
          <w:rFonts w:ascii="Arial" w:hAnsi="Arial" w:cs="Arial"/>
        </w:rPr>
        <w:t>ncreas</w:t>
      </w:r>
      <w:r w:rsidR="00F939F8">
        <w:rPr>
          <w:rFonts w:ascii="Arial" w:hAnsi="Arial" w:cs="Arial"/>
        </w:rPr>
        <w:t>e</w:t>
      </w:r>
      <w:r w:rsidR="001E2C4F">
        <w:rPr>
          <w:rFonts w:ascii="Arial" w:hAnsi="Arial" w:cs="Arial"/>
        </w:rPr>
        <w:t>d</w:t>
      </w:r>
      <w:r w:rsidR="00F939F8">
        <w:rPr>
          <w:rFonts w:ascii="Arial" w:hAnsi="Arial" w:cs="Arial"/>
        </w:rPr>
        <w:t xml:space="preserve"> in recent years,</w:t>
      </w:r>
      <w:r w:rsidR="00F939F8">
        <w:rPr>
          <w:rStyle w:val="FootnoteReference"/>
          <w:rFonts w:ascii="Arial" w:hAnsi="Arial" w:cs="Arial"/>
        </w:rPr>
        <w:footnoteReference w:id="4"/>
      </w:r>
      <w:r>
        <w:rPr>
          <w:rFonts w:ascii="Arial" w:hAnsi="Arial" w:cs="Arial"/>
        </w:rPr>
        <w:t xml:space="preserve"> </w:t>
      </w:r>
      <w:r w:rsidR="00F939F8">
        <w:rPr>
          <w:rFonts w:ascii="Arial" w:hAnsi="Arial" w:cs="Arial"/>
        </w:rPr>
        <w:t xml:space="preserve">likely </w:t>
      </w:r>
      <w:r w:rsidR="001E2C4F">
        <w:rPr>
          <w:rFonts w:ascii="Arial" w:hAnsi="Arial" w:cs="Arial"/>
        </w:rPr>
        <w:t xml:space="preserve">due </w:t>
      </w:r>
      <w:r w:rsidR="00F939F8">
        <w:rPr>
          <w:rFonts w:ascii="Arial" w:hAnsi="Arial" w:cs="Arial"/>
        </w:rPr>
        <w:t xml:space="preserve">to </w:t>
      </w:r>
      <w:r w:rsidR="009C123F">
        <w:rPr>
          <w:rFonts w:ascii="Arial" w:hAnsi="Arial" w:cs="Arial"/>
        </w:rPr>
        <w:t xml:space="preserve">a </w:t>
      </w:r>
      <w:r>
        <w:rPr>
          <w:rFonts w:ascii="Arial" w:hAnsi="Arial" w:cs="Arial"/>
        </w:rPr>
        <w:t>focus on increased inclusion</w:t>
      </w:r>
      <w:r w:rsidR="009C123F">
        <w:rPr>
          <w:rFonts w:ascii="Arial" w:hAnsi="Arial" w:cs="Arial"/>
        </w:rPr>
        <w:t xml:space="preserve"> of women</w:t>
      </w:r>
      <w:r>
        <w:rPr>
          <w:rFonts w:ascii="Arial" w:hAnsi="Arial" w:cs="Arial"/>
        </w:rPr>
        <w:t xml:space="preserve"> in male</w:t>
      </w:r>
      <w:r w:rsidR="001E2C4F">
        <w:rPr>
          <w:rFonts w:ascii="Arial" w:hAnsi="Arial" w:cs="Arial"/>
        </w:rPr>
        <w:t>-</w:t>
      </w:r>
      <w:r w:rsidR="00F939F8">
        <w:rPr>
          <w:rFonts w:ascii="Arial" w:hAnsi="Arial" w:cs="Arial"/>
        </w:rPr>
        <w:t>dominated</w:t>
      </w:r>
      <w:r>
        <w:rPr>
          <w:rFonts w:ascii="Arial" w:hAnsi="Arial" w:cs="Arial"/>
        </w:rPr>
        <w:t xml:space="preserve"> sports and </w:t>
      </w:r>
      <w:r w:rsidR="00F939F8">
        <w:rPr>
          <w:rFonts w:ascii="Arial" w:hAnsi="Arial" w:cs="Arial"/>
        </w:rPr>
        <w:t xml:space="preserve">investment in </w:t>
      </w:r>
      <w:r>
        <w:rPr>
          <w:rFonts w:ascii="Arial" w:hAnsi="Arial" w:cs="Arial"/>
        </w:rPr>
        <w:t xml:space="preserve">programs </w:t>
      </w:r>
      <w:r w:rsidR="00F939F8">
        <w:rPr>
          <w:rFonts w:ascii="Arial" w:hAnsi="Arial" w:cs="Arial"/>
        </w:rPr>
        <w:t>targeted</w:t>
      </w:r>
      <w:r>
        <w:rPr>
          <w:rFonts w:ascii="Arial" w:hAnsi="Arial" w:cs="Arial"/>
        </w:rPr>
        <w:t xml:space="preserve"> at increasing women’s </w:t>
      </w:r>
      <w:r w:rsidR="00F939F8">
        <w:rPr>
          <w:rFonts w:ascii="Arial" w:hAnsi="Arial" w:cs="Arial"/>
        </w:rPr>
        <w:t xml:space="preserve">participation in sport </w:t>
      </w:r>
      <w:r w:rsidR="009C123F">
        <w:rPr>
          <w:rFonts w:ascii="Arial" w:hAnsi="Arial" w:cs="Arial"/>
        </w:rPr>
        <w:t xml:space="preserve">and physical activity </w:t>
      </w:r>
      <w:r w:rsidR="00F939F8">
        <w:rPr>
          <w:rFonts w:ascii="Arial" w:hAnsi="Arial" w:cs="Arial"/>
        </w:rPr>
        <w:t xml:space="preserve">such as </w:t>
      </w:r>
      <w:r w:rsidR="001E2C4F">
        <w:rPr>
          <w:rFonts w:ascii="Arial" w:hAnsi="Arial" w:cs="Arial"/>
        </w:rPr>
        <w:t xml:space="preserve">VicHealth’s </w:t>
      </w:r>
      <w:r w:rsidR="00F939F8">
        <w:rPr>
          <w:rFonts w:ascii="Arial" w:hAnsi="Arial" w:cs="Arial"/>
          <w:i/>
          <w:iCs/>
        </w:rPr>
        <w:t>T</w:t>
      </w:r>
      <w:r w:rsidR="00F939F8" w:rsidRPr="00F939F8">
        <w:rPr>
          <w:rFonts w:ascii="Arial" w:hAnsi="Arial" w:cs="Arial"/>
          <w:i/>
          <w:iCs/>
        </w:rPr>
        <w:t xml:space="preserve">his </w:t>
      </w:r>
      <w:r w:rsidR="00A04E0A">
        <w:rPr>
          <w:rFonts w:ascii="Arial" w:hAnsi="Arial" w:cs="Arial"/>
          <w:i/>
          <w:iCs/>
        </w:rPr>
        <w:t>G</w:t>
      </w:r>
      <w:r w:rsidR="00F939F8" w:rsidRPr="00F939F8">
        <w:rPr>
          <w:rFonts w:ascii="Arial" w:hAnsi="Arial" w:cs="Arial"/>
          <w:i/>
          <w:iCs/>
        </w:rPr>
        <w:t xml:space="preserve">irl </w:t>
      </w:r>
      <w:r w:rsidR="00A04E0A">
        <w:rPr>
          <w:rFonts w:ascii="Arial" w:hAnsi="Arial" w:cs="Arial"/>
          <w:i/>
          <w:iCs/>
        </w:rPr>
        <w:t>C</w:t>
      </w:r>
      <w:r w:rsidR="00F939F8" w:rsidRPr="00F939F8">
        <w:rPr>
          <w:rFonts w:ascii="Arial" w:hAnsi="Arial" w:cs="Arial"/>
          <w:i/>
          <w:iCs/>
        </w:rPr>
        <w:t>an</w:t>
      </w:r>
      <w:r w:rsidR="00F939F8">
        <w:rPr>
          <w:rFonts w:ascii="Arial" w:hAnsi="Arial" w:cs="Arial"/>
        </w:rPr>
        <w:t>. However</w:t>
      </w:r>
      <w:r w:rsidR="001E2C4F">
        <w:rPr>
          <w:rFonts w:ascii="Arial" w:hAnsi="Arial" w:cs="Arial"/>
        </w:rPr>
        <w:t>,</w:t>
      </w:r>
      <w:r w:rsidR="00F939F8">
        <w:rPr>
          <w:rFonts w:ascii="Arial" w:hAnsi="Arial" w:cs="Arial"/>
        </w:rPr>
        <w:t xml:space="preserve"> gendered barriers </w:t>
      </w:r>
      <w:r w:rsidR="00E27C59">
        <w:rPr>
          <w:rFonts w:ascii="Arial" w:hAnsi="Arial" w:cs="Arial"/>
        </w:rPr>
        <w:t>continue to</w:t>
      </w:r>
      <w:r w:rsidR="00F939F8">
        <w:rPr>
          <w:rFonts w:ascii="Arial" w:hAnsi="Arial" w:cs="Arial"/>
        </w:rPr>
        <w:t xml:space="preserve"> prevent young women participating in physical activity</w:t>
      </w:r>
      <w:r w:rsidR="001E2C4F">
        <w:rPr>
          <w:rFonts w:ascii="Arial" w:hAnsi="Arial" w:cs="Arial"/>
        </w:rPr>
        <w:t>,</w:t>
      </w:r>
      <w:r w:rsidR="00F939F8">
        <w:rPr>
          <w:rFonts w:ascii="Arial" w:hAnsi="Arial" w:cs="Arial"/>
        </w:rPr>
        <w:t xml:space="preserve"> including fear of judgement</w:t>
      </w:r>
      <w:r w:rsidR="00E27C59">
        <w:rPr>
          <w:rFonts w:ascii="Arial" w:hAnsi="Arial" w:cs="Arial"/>
        </w:rPr>
        <w:t xml:space="preserve">, </w:t>
      </w:r>
      <w:r w:rsidR="00F939F8">
        <w:rPr>
          <w:rFonts w:ascii="Arial" w:hAnsi="Arial" w:cs="Arial"/>
        </w:rPr>
        <w:t xml:space="preserve">body shaming and </w:t>
      </w:r>
      <w:r w:rsidR="001E2C4F">
        <w:rPr>
          <w:rFonts w:ascii="Arial" w:hAnsi="Arial" w:cs="Arial"/>
        </w:rPr>
        <w:t xml:space="preserve">discomfort </w:t>
      </w:r>
      <w:r w:rsidR="00E779F6">
        <w:rPr>
          <w:rFonts w:ascii="Arial" w:hAnsi="Arial" w:cs="Arial"/>
        </w:rPr>
        <w:t xml:space="preserve">from </w:t>
      </w:r>
      <w:r w:rsidR="001E2C4F">
        <w:rPr>
          <w:rFonts w:ascii="Arial" w:hAnsi="Arial" w:cs="Arial"/>
        </w:rPr>
        <w:t>b</w:t>
      </w:r>
      <w:r w:rsidR="00F939F8">
        <w:rPr>
          <w:rFonts w:ascii="Arial" w:hAnsi="Arial" w:cs="Arial"/>
        </w:rPr>
        <w:t xml:space="preserve">eing sexualised in sportswear. There needs to be further investment in </w:t>
      </w:r>
      <w:r w:rsidR="001E2C4F">
        <w:rPr>
          <w:rFonts w:ascii="Arial" w:hAnsi="Arial" w:cs="Arial"/>
        </w:rPr>
        <w:t xml:space="preserve">interventions that </w:t>
      </w:r>
      <w:r w:rsidR="001E2C4F" w:rsidRPr="003063F8">
        <w:rPr>
          <w:rFonts w:ascii="Arial" w:hAnsi="Arial" w:cs="Arial"/>
        </w:rPr>
        <w:t xml:space="preserve">address the gendered barriers to </w:t>
      </w:r>
      <w:r w:rsidR="00A04E0A" w:rsidRPr="003063F8">
        <w:rPr>
          <w:rFonts w:ascii="Arial" w:hAnsi="Arial" w:cs="Arial"/>
        </w:rPr>
        <w:t>young women’s engagement in sport and physical activity</w:t>
      </w:r>
      <w:r w:rsidR="001E2C4F" w:rsidRPr="003063F8">
        <w:rPr>
          <w:rFonts w:ascii="Arial" w:hAnsi="Arial" w:cs="Arial"/>
        </w:rPr>
        <w:t xml:space="preserve"> and healthy eating</w:t>
      </w:r>
      <w:r w:rsidR="00A04E0A" w:rsidRPr="003063F8">
        <w:rPr>
          <w:rFonts w:ascii="Arial" w:hAnsi="Arial" w:cs="Arial"/>
        </w:rPr>
        <w:t>.</w:t>
      </w:r>
      <w:r w:rsidR="00A04E0A">
        <w:rPr>
          <w:rFonts w:ascii="Arial" w:hAnsi="Arial" w:cs="Arial"/>
        </w:rPr>
        <w:t xml:space="preserve"> </w:t>
      </w:r>
      <w:r w:rsidR="009C123F">
        <w:rPr>
          <w:rFonts w:ascii="Arial" w:hAnsi="Arial" w:cs="Arial"/>
        </w:rPr>
        <w:t>This includes ensuring a focus on</w:t>
      </w:r>
      <w:r w:rsidR="00A04E0A">
        <w:rPr>
          <w:rFonts w:ascii="Arial" w:hAnsi="Arial" w:cs="Arial"/>
        </w:rPr>
        <w:t xml:space="preserve"> health not weight</w:t>
      </w:r>
      <w:r w:rsidR="009C123F">
        <w:rPr>
          <w:rFonts w:ascii="Arial" w:hAnsi="Arial" w:cs="Arial"/>
        </w:rPr>
        <w:t>,</w:t>
      </w:r>
      <w:r w:rsidR="00A04E0A">
        <w:rPr>
          <w:rFonts w:ascii="Arial" w:hAnsi="Arial" w:cs="Arial"/>
        </w:rPr>
        <w:t xml:space="preserve"> to reduce weight stigma</w:t>
      </w:r>
      <w:r w:rsidR="001E2C4F">
        <w:rPr>
          <w:rFonts w:ascii="Arial" w:hAnsi="Arial" w:cs="Arial"/>
        </w:rPr>
        <w:t xml:space="preserve"> and support positive body image</w:t>
      </w:r>
      <w:r w:rsidR="00A04E0A">
        <w:rPr>
          <w:rFonts w:ascii="Arial" w:hAnsi="Arial" w:cs="Arial"/>
        </w:rPr>
        <w:t xml:space="preserve">. Participation in sports and physical activity </w:t>
      </w:r>
      <w:r w:rsidR="001E2C4F">
        <w:rPr>
          <w:rFonts w:ascii="Arial" w:hAnsi="Arial" w:cs="Arial"/>
        </w:rPr>
        <w:t xml:space="preserve">also </w:t>
      </w:r>
      <w:r w:rsidR="00A04E0A">
        <w:rPr>
          <w:rFonts w:ascii="Arial" w:hAnsi="Arial" w:cs="Arial"/>
        </w:rPr>
        <w:t>needs to be inclusive an</w:t>
      </w:r>
      <w:r w:rsidR="00E27C59">
        <w:rPr>
          <w:rFonts w:ascii="Arial" w:hAnsi="Arial" w:cs="Arial"/>
        </w:rPr>
        <w:t>d</w:t>
      </w:r>
      <w:r w:rsidR="00A04E0A">
        <w:rPr>
          <w:rFonts w:ascii="Arial" w:hAnsi="Arial" w:cs="Arial"/>
        </w:rPr>
        <w:t xml:space="preserve"> accessible for all young women</w:t>
      </w:r>
      <w:r w:rsidR="001E2C4F">
        <w:rPr>
          <w:rFonts w:ascii="Arial" w:hAnsi="Arial" w:cs="Arial"/>
        </w:rPr>
        <w:t xml:space="preserve">; this includes </w:t>
      </w:r>
      <w:r w:rsidR="00A04E0A">
        <w:rPr>
          <w:rFonts w:ascii="Arial" w:hAnsi="Arial" w:cs="Arial"/>
        </w:rPr>
        <w:t>invest</w:t>
      </w:r>
      <w:r w:rsidR="001E2C4F">
        <w:rPr>
          <w:rFonts w:ascii="Arial" w:hAnsi="Arial" w:cs="Arial"/>
        </w:rPr>
        <w:t>ing</w:t>
      </w:r>
      <w:r w:rsidR="00A04E0A">
        <w:rPr>
          <w:rFonts w:ascii="Arial" w:hAnsi="Arial" w:cs="Arial"/>
        </w:rPr>
        <w:t xml:space="preserve"> in ensuring inclusion within sports clubs</w:t>
      </w:r>
      <w:r w:rsidR="00E27C59">
        <w:rPr>
          <w:rFonts w:ascii="Arial" w:hAnsi="Arial" w:cs="Arial"/>
        </w:rPr>
        <w:t xml:space="preserve">, </w:t>
      </w:r>
      <w:r w:rsidR="00A04E0A">
        <w:rPr>
          <w:rFonts w:ascii="Arial" w:hAnsi="Arial" w:cs="Arial"/>
        </w:rPr>
        <w:t xml:space="preserve">centres and health promotion campaigns and </w:t>
      </w:r>
      <w:r w:rsidR="001E2C4F">
        <w:rPr>
          <w:rFonts w:ascii="Arial" w:hAnsi="Arial" w:cs="Arial"/>
        </w:rPr>
        <w:t>actively addressing</w:t>
      </w:r>
      <w:r w:rsidR="00A04E0A">
        <w:rPr>
          <w:rFonts w:ascii="Arial" w:hAnsi="Arial" w:cs="Arial"/>
        </w:rPr>
        <w:t xml:space="preserve"> </w:t>
      </w:r>
      <w:r w:rsidR="001E2C4F">
        <w:rPr>
          <w:rFonts w:ascii="Arial" w:hAnsi="Arial" w:cs="Arial"/>
        </w:rPr>
        <w:t xml:space="preserve">sexism, </w:t>
      </w:r>
      <w:r w:rsidR="00A04E0A">
        <w:rPr>
          <w:rFonts w:ascii="Arial" w:hAnsi="Arial" w:cs="Arial"/>
        </w:rPr>
        <w:t xml:space="preserve">ableism, </w:t>
      </w:r>
      <w:r w:rsidR="001E2C4F">
        <w:rPr>
          <w:rFonts w:ascii="Arial" w:hAnsi="Arial" w:cs="Arial"/>
        </w:rPr>
        <w:t>racism</w:t>
      </w:r>
      <w:r w:rsidR="11A49B2F">
        <w:rPr>
          <w:rFonts w:ascii="Arial" w:hAnsi="Arial" w:cs="Arial"/>
        </w:rPr>
        <w:t>,</w:t>
      </w:r>
      <w:r w:rsidR="001E2C4F">
        <w:rPr>
          <w:rFonts w:ascii="Arial" w:hAnsi="Arial" w:cs="Arial"/>
        </w:rPr>
        <w:t xml:space="preserve"> </w:t>
      </w:r>
      <w:r w:rsidR="00A04E0A">
        <w:rPr>
          <w:rFonts w:ascii="Arial" w:hAnsi="Arial" w:cs="Arial"/>
        </w:rPr>
        <w:t>homophobia</w:t>
      </w:r>
      <w:r w:rsidR="2E15A8A1">
        <w:rPr>
          <w:rFonts w:ascii="Arial" w:hAnsi="Arial" w:cs="Arial"/>
        </w:rPr>
        <w:t xml:space="preserve"> and </w:t>
      </w:r>
      <w:r w:rsidR="001E2C4F">
        <w:rPr>
          <w:rFonts w:ascii="Arial" w:hAnsi="Arial" w:cs="Arial"/>
        </w:rPr>
        <w:t>transphobia</w:t>
      </w:r>
      <w:r w:rsidR="00A04E0A">
        <w:rPr>
          <w:rFonts w:ascii="Arial" w:hAnsi="Arial" w:cs="Arial"/>
        </w:rPr>
        <w:t xml:space="preserve">. </w:t>
      </w:r>
    </w:p>
    <w:p w14:paraId="605FBA81" w14:textId="1F16EEEF" w:rsidR="00E27C59" w:rsidRDefault="00E27C59" w:rsidP="00053061">
      <w:pPr>
        <w:pStyle w:val="NoSpacing"/>
        <w:spacing w:after="120" w:line="276" w:lineRule="auto"/>
        <w:jc w:val="both"/>
        <w:rPr>
          <w:rFonts w:ascii="Arial" w:hAnsi="Arial" w:cs="Arial"/>
        </w:rPr>
      </w:pPr>
      <w:r>
        <w:rPr>
          <w:rFonts w:ascii="Arial" w:hAnsi="Arial" w:cs="Arial"/>
        </w:rPr>
        <w:t xml:space="preserve">Sexual and reproductive health is essential for women’s overall health and wellbeing and </w:t>
      </w:r>
      <w:r w:rsidR="001E2C4F">
        <w:rPr>
          <w:rFonts w:ascii="Arial" w:hAnsi="Arial" w:cs="Arial"/>
        </w:rPr>
        <w:t>fundamental to achieving</w:t>
      </w:r>
      <w:r>
        <w:rPr>
          <w:rFonts w:ascii="Arial" w:hAnsi="Arial" w:cs="Arial"/>
        </w:rPr>
        <w:t xml:space="preserve"> gender equality. </w:t>
      </w:r>
      <w:r w:rsidR="00AA1643">
        <w:rPr>
          <w:rFonts w:ascii="Arial" w:hAnsi="Arial" w:cs="Arial"/>
        </w:rPr>
        <w:t xml:space="preserve">However, contraception and abortion services are not widely available in all regions of Victoria, and shame and stigma remain barriers to access, especially for young women </w:t>
      </w:r>
      <w:r w:rsidR="00390E5A">
        <w:rPr>
          <w:rFonts w:ascii="Arial" w:hAnsi="Arial" w:cs="Arial"/>
        </w:rPr>
        <w:t xml:space="preserve">and those </w:t>
      </w:r>
      <w:r w:rsidR="00AA1643">
        <w:rPr>
          <w:rFonts w:ascii="Arial" w:hAnsi="Arial" w:cs="Arial"/>
        </w:rPr>
        <w:t xml:space="preserve">with diverse sexual orientations and gender identities. </w:t>
      </w:r>
      <w:r w:rsidR="001E6B0D">
        <w:rPr>
          <w:rFonts w:ascii="Arial" w:hAnsi="Arial" w:cs="Arial"/>
        </w:rPr>
        <w:t xml:space="preserve">In </w:t>
      </w:r>
      <w:r w:rsidR="00AA1643">
        <w:rPr>
          <w:rFonts w:ascii="Arial" w:hAnsi="Arial" w:cs="Arial"/>
        </w:rPr>
        <w:t xml:space="preserve">addition, many young women experience a lack of understanding and support for common reproductive health conditions such as </w:t>
      </w:r>
      <w:r>
        <w:rPr>
          <w:rFonts w:ascii="Arial" w:hAnsi="Arial" w:cs="Arial"/>
        </w:rPr>
        <w:t>endometriosis</w:t>
      </w:r>
      <w:r w:rsidR="00E779F6">
        <w:rPr>
          <w:rFonts w:ascii="Arial" w:hAnsi="Arial" w:cs="Arial"/>
        </w:rPr>
        <w:t>,</w:t>
      </w:r>
      <w:r>
        <w:rPr>
          <w:rFonts w:ascii="Arial" w:hAnsi="Arial" w:cs="Arial"/>
        </w:rPr>
        <w:t xml:space="preserve"> which can often take years to be diagnosed. </w:t>
      </w:r>
      <w:r w:rsidR="00AA1643">
        <w:rPr>
          <w:rFonts w:ascii="Arial" w:hAnsi="Arial" w:cs="Arial"/>
        </w:rPr>
        <w:t xml:space="preserve">Increased investment is needed to ensure youth-friendly sexual and reproductive health services can be accessed by all young people confidentially and without fear of judgment or discrimination in all regions across Victoria. In addition, a more comprehensive and consistent approach to sexuality and relationships education </w:t>
      </w:r>
      <w:r w:rsidR="00214B18">
        <w:rPr>
          <w:rFonts w:ascii="Arial" w:hAnsi="Arial" w:cs="Arial"/>
        </w:rPr>
        <w:t xml:space="preserve">– that applies an intersectional gendered lens across all content – </w:t>
      </w:r>
      <w:r w:rsidR="00AA1643">
        <w:rPr>
          <w:rFonts w:ascii="Arial" w:hAnsi="Arial" w:cs="Arial"/>
        </w:rPr>
        <w:t>is</w:t>
      </w:r>
      <w:r w:rsidR="00214B18">
        <w:rPr>
          <w:rFonts w:ascii="Arial" w:hAnsi="Arial" w:cs="Arial"/>
        </w:rPr>
        <w:t xml:space="preserve"> </w:t>
      </w:r>
      <w:r w:rsidR="00AA1643">
        <w:rPr>
          <w:rFonts w:ascii="Arial" w:hAnsi="Arial" w:cs="Arial"/>
        </w:rPr>
        <w:t xml:space="preserve">needed across Victorian schools. </w:t>
      </w:r>
    </w:p>
    <w:p w14:paraId="3EF6148F" w14:textId="3A7095B9" w:rsidR="00584383" w:rsidRPr="00014552" w:rsidRDefault="00B821D5" w:rsidP="00053061">
      <w:pPr>
        <w:pStyle w:val="NoSpacing"/>
        <w:spacing w:after="120" w:line="276" w:lineRule="auto"/>
        <w:jc w:val="both"/>
        <w:rPr>
          <w:rFonts w:ascii="Arial" w:hAnsi="Arial" w:cs="Arial"/>
        </w:rPr>
      </w:pPr>
      <w:r>
        <w:rPr>
          <w:rFonts w:ascii="Arial" w:hAnsi="Arial" w:cs="Arial"/>
        </w:rPr>
        <w:t xml:space="preserve">Research shows </w:t>
      </w:r>
      <w:r w:rsidR="00965FFB">
        <w:rPr>
          <w:rFonts w:ascii="Arial" w:hAnsi="Arial" w:cs="Arial"/>
        </w:rPr>
        <w:t xml:space="preserve">young women </w:t>
      </w:r>
      <w:r w:rsidR="0028588E">
        <w:rPr>
          <w:rFonts w:ascii="Arial" w:hAnsi="Arial" w:cs="Arial"/>
        </w:rPr>
        <w:t>experience</w:t>
      </w:r>
      <w:r w:rsidR="00965FFB">
        <w:rPr>
          <w:rFonts w:ascii="Arial" w:hAnsi="Arial" w:cs="Arial"/>
        </w:rPr>
        <w:t xml:space="preserve"> higher rates of </w:t>
      </w:r>
      <w:r>
        <w:rPr>
          <w:rFonts w:ascii="Arial" w:hAnsi="Arial" w:cs="Arial"/>
        </w:rPr>
        <w:t xml:space="preserve">relationship </w:t>
      </w:r>
      <w:r w:rsidR="00965FFB">
        <w:rPr>
          <w:rFonts w:ascii="Arial" w:hAnsi="Arial" w:cs="Arial"/>
        </w:rPr>
        <w:t>violence</w:t>
      </w:r>
      <w:r>
        <w:rPr>
          <w:rFonts w:ascii="Arial" w:hAnsi="Arial" w:cs="Arial"/>
        </w:rPr>
        <w:t xml:space="preserve">, </w:t>
      </w:r>
      <w:r w:rsidRPr="009708CB">
        <w:rPr>
          <w:rFonts w:ascii="Arial" w:hAnsi="Arial" w:cs="Arial"/>
        </w:rPr>
        <w:t>sexual assault</w:t>
      </w:r>
      <w:r>
        <w:rPr>
          <w:rFonts w:ascii="Arial" w:hAnsi="Arial" w:cs="Arial"/>
        </w:rPr>
        <w:t xml:space="preserve"> and sexual harassment</w:t>
      </w:r>
      <w:r w:rsidR="00965FFB">
        <w:rPr>
          <w:rFonts w:ascii="Arial" w:hAnsi="Arial" w:cs="Arial"/>
        </w:rPr>
        <w:t xml:space="preserve"> compared with men and older women. </w:t>
      </w:r>
      <w:r>
        <w:rPr>
          <w:rFonts w:ascii="Arial" w:hAnsi="Arial" w:cs="Arial"/>
        </w:rPr>
        <w:t xml:space="preserve">Despite recent efforts to scale up </w:t>
      </w:r>
      <w:r w:rsidR="00214B18">
        <w:rPr>
          <w:rFonts w:ascii="Arial" w:hAnsi="Arial" w:cs="Arial"/>
        </w:rPr>
        <w:t xml:space="preserve">initiatives to </w:t>
      </w:r>
      <w:r>
        <w:rPr>
          <w:rFonts w:ascii="Arial" w:hAnsi="Arial" w:cs="Arial"/>
        </w:rPr>
        <w:t xml:space="preserve">prevent violence against women, attitudes that </w:t>
      </w:r>
      <w:r w:rsidR="00214B18">
        <w:rPr>
          <w:rFonts w:ascii="Arial" w:hAnsi="Arial" w:cs="Arial"/>
        </w:rPr>
        <w:t>drive</w:t>
      </w:r>
      <w:r>
        <w:rPr>
          <w:rFonts w:ascii="Arial" w:hAnsi="Arial" w:cs="Arial"/>
        </w:rPr>
        <w:t xml:space="preserve"> violence against </w:t>
      </w:r>
      <w:r>
        <w:rPr>
          <w:rFonts w:ascii="Arial" w:hAnsi="Arial" w:cs="Arial"/>
        </w:rPr>
        <w:lastRenderedPageBreak/>
        <w:t>women are still prevalent, particularly among young men</w:t>
      </w:r>
      <w:r w:rsidR="00E779F6">
        <w:rPr>
          <w:rFonts w:ascii="Arial" w:hAnsi="Arial" w:cs="Arial"/>
        </w:rPr>
        <w:t>,</w:t>
      </w:r>
      <w:r w:rsidR="00AF734B">
        <w:rPr>
          <w:rStyle w:val="FootnoteReference"/>
          <w:rFonts w:ascii="Arial" w:hAnsi="Arial" w:cs="Arial"/>
        </w:rPr>
        <w:footnoteReference w:id="5"/>
      </w:r>
      <w:r w:rsidR="00965FFB">
        <w:rPr>
          <w:rFonts w:ascii="Arial" w:hAnsi="Arial" w:cs="Arial"/>
        </w:rPr>
        <w:t xml:space="preserve"> and attitudes persist that demonstrate a disregard for consent in sexual relations</w:t>
      </w:r>
      <w:r w:rsidR="00214B18">
        <w:rPr>
          <w:rFonts w:ascii="Arial" w:hAnsi="Arial" w:cs="Arial"/>
        </w:rPr>
        <w:t>.</w:t>
      </w:r>
      <w:r w:rsidR="00965FFB">
        <w:rPr>
          <w:rStyle w:val="FootnoteReference"/>
          <w:rFonts w:ascii="Arial" w:hAnsi="Arial" w:cs="Arial"/>
        </w:rPr>
        <w:footnoteReference w:id="6"/>
      </w:r>
      <w:r>
        <w:rPr>
          <w:rFonts w:ascii="Arial" w:hAnsi="Arial" w:cs="Arial"/>
        </w:rPr>
        <w:t xml:space="preserve"> </w:t>
      </w:r>
      <w:r w:rsidR="00214B18">
        <w:rPr>
          <w:rFonts w:ascii="Arial" w:hAnsi="Arial" w:cs="Arial"/>
        </w:rPr>
        <w:t xml:space="preserve">It is critical to ensure that </w:t>
      </w:r>
      <w:bookmarkStart w:id="1" w:name="_Hlk58244279"/>
      <w:r w:rsidR="00214B18">
        <w:rPr>
          <w:rFonts w:ascii="Arial" w:hAnsi="Arial" w:cs="Arial"/>
        </w:rPr>
        <w:t>mutually-reinforcing, evidence-based initiatives to prevent violence against women continue to be rolled out and scaled up across all settings, including media and advertising</w:t>
      </w:r>
      <w:bookmarkEnd w:id="1"/>
      <w:r w:rsidR="00214B18">
        <w:rPr>
          <w:rFonts w:ascii="Arial" w:hAnsi="Arial" w:cs="Arial"/>
        </w:rPr>
        <w:t xml:space="preserve">, recognising the impact of media representations not only on attitudes that drive violence against women, but also </w:t>
      </w:r>
      <w:r w:rsidR="00033CC3">
        <w:rPr>
          <w:rFonts w:ascii="Arial" w:hAnsi="Arial" w:cs="Arial"/>
        </w:rPr>
        <w:t xml:space="preserve">on </w:t>
      </w:r>
      <w:r w:rsidR="00214B18">
        <w:rPr>
          <w:rFonts w:ascii="Arial" w:hAnsi="Arial" w:cs="Arial"/>
        </w:rPr>
        <w:t>young women’s mental health and body image</w:t>
      </w:r>
      <w:r w:rsidR="00CF08DB">
        <w:rPr>
          <w:rFonts w:ascii="Arial" w:hAnsi="Arial" w:cs="Arial"/>
        </w:rPr>
        <w:t>.</w:t>
      </w:r>
      <w:r w:rsidR="00E779F6">
        <w:rPr>
          <w:rFonts w:ascii="Arial" w:hAnsi="Arial" w:cs="Arial"/>
        </w:rPr>
        <w:t xml:space="preserve"> </w:t>
      </w:r>
      <w:r w:rsidR="00033CC3">
        <w:rPr>
          <w:rFonts w:ascii="Arial" w:hAnsi="Arial" w:cs="Arial"/>
        </w:rPr>
        <w:t xml:space="preserve">Building on the success of Respectful Relationships Education, </w:t>
      </w:r>
      <w:bookmarkStart w:id="2" w:name="_Hlk58244368"/>
      <w:r w:rsidR="00033CC3">
        <w:rPr>
          <w:rFonts w:ascii="Arial" w:hAnsi="Arial" w:cs="Arial"/>
        </w:rPr>
        <w:t>a more</w:t>
      </w:r>
      <w:r w:rsidR="00965FFB">
        <w:rPr>
          <w:rFonts w:ascii="Arial" w:hAnsi="Arial" w:cs="Arial"/>
        </w:rPr>
        <w:t xml:space="preserve"> comprehensive sexuality and relationships curriculum</w:t>
      </w:r>
      <w:r w:rsidR="00033CC3">
        <w:rPr>
          <w:rFonts w:ascii="Arial" w:hAnsi="Arial" w:cs="Arial"/>
        </w:rPr>
        <w:t xml:space="preserve"> is needed</w:t>
      </w:r>
      <w:r w:rsidR="002813F1">
        <w:rPr>
          <w:rFonts w:ascii="Arial" w:hAnsi="Arial" w:cs="Arial"/>
        </w:rPr>
        <w:t>,</w:t>
      </w:r>
      <w:r w:rsidR="00033CC3">
        <w:rPr>
          <w:rFonts w:ascii="Arial" w:hAnsi="Arial" w:cs="Arial"/>
        </w:rPr>
        <w:t xml:space="preserve"> recognis</w:t>
      </w:r>
      <w:r w:rsidR="002813F1">
        <w:rPr>
          <w:rFonts w:ascii="Arial" w:hAnsi="Arial" w:cs="Arial"/>
        </w:rPr>
        <w:t>ing</w:t>
      </w:r>
      <w:r w:rsidR="00033CC3">
        <w:rPr>
          <w:rFonts w:ascii="Arial" w:hAnsi="Arial" w:cs="Arial"/>
        </w:rPr>
        <w:t xml:space="preserve"> the intersections between sexual and reproductive health, healthy relationships and gender equality</w:t>
      </w:r>
      <w:r w:rsidR="002813F1">
        <w:rPr>
          <w:rFonts w:ascii="Arial" w:hAnsi="Arial" w:cs="Arial"/>
        </w:rPr>
        <w:t>, and highlighting neglected issues such as r</w:t>
      </w:r>
      <w:r w:rsidR="00584383">
        <w:rPr>
          <w:rFonts w:ascii="Arial" w:hAnsi="Arial" w:cs="Arial"/>
        </w:rPr>
        <w:t>eproductive coercion</w:t>
      </w:r>
      <w:bookmarkEnd w:id="2"/>
      <w:r w:rsidR="002906AF">
        <w:rPr>
          <w:rFonts w:ascii="Arial" w:hAnsi="Arial" w:cs="Arial"/>
        </w:rPr>
        <w:t>/abuse</w:t>
      </w:r>
      <w:r w:rsidR="002813F1">
        <w:rPr>
          <w:rFonts w:ascii="Arial" w:hAnsi="Arial" w:cs="Arial"/>
        </w:rPr>
        <w:t>.</w:t>
      </w:r>
      <w:r w:rsidR="00584383">
        <w:rPr>
          <w:rFonts w:ascii="Arial" w:hAnsi="Arial" w:cs="Arial"/>
        </w:rPr>
        <w:t xml:space="preserve"> </w:t>
      </w:r>
      <w:r w:rsidR="002813F1">
        <w:rPr>
          <w:rFonts w:ascii="Arial" w:hAnsi="Arial" w:cs="Arial"/>
        </w:rPr>
        <w:t>There is also a need to broaden the policy focus beyond family violence to include a stronger focus on preventing sexual harassment and sexual assault outside the home, given the high rates of sexual harassment of young women in educational and workplace settings. The submission a</w:t>
      </w:r>
      <w:r w:rsidR="002813F1" w:rsidRPr="00014552">
        <w:rPr>
          <w:rFonts w:ascii="Arial" w:hAnsi="Arial" w:cs="Arial"/>
        </w:rPr>
        <w:t>cknowledg</w:t>
      </w:r>
      <w:r w:rsidR="002813F1">
        <w:rPr>
          <w:rFonts w:ascii="Arial" w:hAnsi="Arial" w:cs="Arial"/>
        </w:rPr>
        <w:t>es the importance of initiatives focused on or engaging with young men in order to improve young women’s health and prevent gendered violence.</w:t>
      </w:r>
      <w:r w:rsidR="002813F1" w:rsidRPr="00014552">
        <w:rPr>
          <w:rFonts w:ascii="Arial" w:hAnsi="Arial" w:cs="Arial"/>
        </w:rPr>
        <w:t xml:space="preserve"> </w:t>
      </w:r>
    </w:p>
    <w:p w14:paraId="4BFB034E" w14:textId="1CBCB985" w:rsidR="00F31F76" w:rsidRPr="00014552" w:rsidRDefault="00410551" w:rsidP="00053061">
      <w:pPr>
        <w:pStyle w:val="NoSpacing"/>
        <w:spacing w:after="120" w:line="276" w:lineRule="auto"/>
        <w:jc w:val="both"/>
        <w:rPr>
          <w:rFonts w:ascii="Arial" w:hAnsi="Arial" w:cs="Arial"/>
        </w:rPr>
      </w:pPr>
      <w:r w:rsidRPr="00014552">
        <w:rPr>
          <w:rFonts w:ascii="Arial" w:hAnsi="Arial" w:cs="Arial"/>
        </w:rPr>
        <w:t>WHV also acknowledges that not all young people identify as male or female and the importance of ensuring young people with diverse gender identities and sexual orientation</w:t>
      </w:r>
      <w:r w:rsidR="002813F1">
        <w:rPr>
          <w:rFonts w:ascii="Arial" w:hAnsi="Arial" w:cs="Arial"/>
        </w:rPr>
        <w:t>s</w:t>
      </w:r>
      <w:r w:rsidRPr="00014552">
        <w:rPr>
          <w:rFonts w:ascii="Arial" w:hAnsi="Arial" w:cs="Arial"/>
        </w:rPr>
        <w:t xml:space="preserve"> are considered across all recommendations and strategy areas. </w:t>
      </w:r>
      <w:r w:rsidR="0028588E" w:rsidRPr="004475A2">
        <w:rPr>
          <w:rFonts w:ascii="Arial" w:hAnsi="Arial" w:cs="Arial"/>
          <w:lang w:eastAsia="en-AU"/>
        </w:rPr>
        <w:t xml:space="preserve">This document uses the term </w:t>
      </w:r>
      <w:r w:rsidR="0028588E" w:rsidRPr="008253E9">
        <w:rPr>
          <w:rFonts w:ascii="Arial" w:hAnsi="Arial" w:cs="Arial"/>
          <w:i/>
          <w:iCs/>
          <w:lang w:eastAsia="en-AU"/>
        </w:rPr>
        <w:t>women</w:t>
      </w:r>
      <w:r w:rsidR="0028588E" w:rsidRPr="004475A2">
        <w:rPr>
          <w:rFonts w:ascii="Arial" w:hAnsi="Arial" w:cs="Arial"/>
          <w:lang w:eastAsia="en-AU"/>
        </w:rPr>
        <w:t xml:space="preserve"> throughout, inclusive of all people who identify as women. W</w:t>
      </w:r>
      <w:r w:rsidR="002813F1">
        <w:rPr>
          <w:rFonts w:ascii="Arial" w:hAnsi="Arial" w:cs="Arial"/>
          <w:lang w:eastAsia="en-AU"/>
        </w:rPr>
        <w:t>HV</w:t>
      </w:r>
      <w:r w:rsidR="0028588E" w:rsidRPr="004475A2">
        <w:rPr>
          <w:rFonts w:ascii="Arial" w:hAnsi="Arial" w:cs="Arial"/>
          <w:lang w:eastAsia="en-AU"/>
        </w:rPr>
        <w:t xml:space="preserve"> recognises that trans men, non-binary, </w:t>
      </w:r>
      <w:r w:rsidR="0028588E">
        <w:rPr>
          <w:rFonts w:ascii="Arial" w:hAnsi="Arial" w:cs="Arial"/>
          <w:lang w:eastAsia="en-AU"/>
        </w:rPr>
        <w:t xml:space="preserve">and </w:t>
      </w:r>
      <w:r w:rsidR="0028588E" w:rsidRPr="004475A2">
        <w:rPr>
          <w:rFonts w:ascii="Arial" w:hAnsi="Arial" w:cs="Arial"/>
          <w:lang w:eastAsia="en-AU"/>
        </w:rPr>
        <w:t xml:space="preserve">intersex </w:t>
      </w:r>
      <w:r w:rsidR="0028588E">
        <w:rPr>
          <w:rFonts w:ascii="Arial" w:hAnsi="Arial" w:cs="Arial"/>
          <w:lang w:eastAsia="en-AU"/>
        </w:rPr>
        <w:t xml:space="preserve">people </w:t>
      </w:r>
      <w:r w:rsidR="00CB4BF1">
        <w:rPr>
          <w:rFonts w:ascii="Arial" w:hAnsi="Arial" w:cs="Arial"/>
          <w:lang w:eastAsia="en-AU"/>
        </w:rPr>
        <w:t xml:space="preserve">can </w:t>
      </w:r>
      <w:r w:rsidR="0028588E">
        <w:rPr>
          <w:rFonts w:ascii="Arial" w:hAnsi="Arial" w:cs="Arial"/>
          <w:lang w:eastAsia="en-AU"/>
        </w:rPr>
        <w:t xml:space="preserve">also </w:t>
      </w:r>
      <w:r w:rsidR="00CB4BF1">
        <w:rPr>
          <w:rFonts w:ascii="Arial" w:hAnsi="Arial" w:cs="Arial"/>
          <w:lang w:eastAsia="en-AU"/>
        </w:rPr>
        <w:t xml:space="preserve">experience </w:t>
      </w:r>
      <w:r w:rsidR="002813F1">
        <w:rPr>
          <w:rFonts w:ascii="Arial" w:hAnsi="Arial" w:cs="Arial"/>
          <w:lang w:eastAsia="en-AU"/>
        </w:rPr>
        <w:t xml:space="preserve">menstruation, </w:t>
      </w:r>
      <w:r w:rsidR="00CB4BF1">
        <w:rPr>
          <w:rFonts w:ascii="Arial" w:hAnsi="Arial" w:cs="Arial"/>
          <w:lang w:eastAsia="en-AU"/>
        </w:rPr>
        <w:t>pregnancy and reproductive conditions such as endometriosis and also require comprehensive sexual and reproductive health information and services inclu</w:t>
      </w:r>
      <w:r w:rsidR="002813F1">
        <w:rPr>
          <w:rFonts w:ascii="Arial" w:hAnsi="Arial" w:cs="Arial"/>
          <w:lang w:eastAsia="en-AU"/>
        </w:rPr>
        <w:t>ding</w:t>
      </w:r>
      <w:r w:rsidR="00CB4BF1">
        <w:rPr>
          <w:rFonts w:ascii="Arial" w:hAnsi="Arial" w:cs="Arial"/>
          <w:lang w:eastAsia="en-AU"/>
        </w:rPr>
        <w:t xml:space="preserve"> access to abortion and all forms of contraception.</w:t>
      </w:r>
    </w:p>
    <w:p w14:paraId="0B8CC1FB" w14:textId="094E990F" w:rsidR="001E51BA" w:rsidRPr="002813F1" w:rsidRDefault="001E51BA" w:rsidP="008802A1">
      <w:pPr>
        <w:pStyle w:val="Heading2"/>
        <w:spacing w:before="240" w:after="120"/>
        <w:jc w:val="both"/>
        <w:rPr>
          <w:b/>
          <w:bCs/>
        </w:rPr>
      </w:pPr>
      <w:bookmarkStart w:id="3" w:name="_Toc59045874"/>
      <w:r w:rsidRPr="002813F1">
        <w:rPr>
          <w:b/>
          <w:bCs/>
          <w:lang w:eastAsia="en-AU"/>
        </w:rPr>
        <w:t>Principles</w:t>
      </w:r>
      <w:bookmarkEnd w:id="3"/>
      <w:r w:rsidRPr="002813F1">
        <w:rPr>
          <w:b/>
          <w:bCs/>
        </w:rPr>
        <w:t xml:space="preserve"> </w:t>
      </w:r>
    </w:p>
    <w:p w14:paraId="3E98BD8D" w14:textId="77777777" w:rsidR="003917C6" w:rsidRPr="00014552" w:rsidRDefault="003077D7" w:rsidP="00244F71">
      <w:pPr>
        <w:pStyle w:val="NoSpacing"/>
        <w:spacing w:after="120" w:line="22" w:lineRule="atLeast"/>
        <w:jc w:val="both"/>
        <w:rPr>
          <w:rFonts w:ascii="Arial" w:hAnsi="Arial" w:cs="Arial"/>
        </w:rPr>
      </w:pPr>
      <w:r w:rsidRPr="00014552">
        <w:rPr>
          <w:rFonts w:ascii="Arial" w:hAnsi="Arial" w:cs="Arial"/>
        </w:rPr>
        <w:t xml:space="preserve">This submission is informed by the following principles: </w:t>
      </w:r>
    </w:p>
    <w:p w14:paraId="4E6E6723" w14:textId="025CB51E" w:rsidR="00F1392C" w:rsidRPr="00107496" w:rsidRDefault="003077D7" w:rsidP="00244F71">
      <w:pPr>
        <w:pStyle w:val="NoSpacing"/>
        <w:numPr>
          <w:ilvl w:val="0"/>
          <w:numId w:val="15"/>
        </w:numPr>
        <w:spacing w:after="120" w:line="22" w:lineRule="atLeast"/>
        <w:jc w:val="both"/>
        <w:rPr>
          <w:rFonts w:ascii="Arial" w:hAnsi="Arial" w:cs="Arial"/>
          <w:color w:val="ED7D31" w:themeColor="accent2"/>
          <w:sz w:val="24"/>
          <w:szCs w:val="24"/>
        </w:rPr>
      </w:pPr>
      <w:r w:rsidRPr="00107496">
        <w:rPr>
          <w:rFonts w:ascii="Arial" w:hAnsi="Arial" w:cs="Arial"/>
          <w:color w:val="ED7D31" w:themeColor="accent2"/>
          <w:sz w:val="24"/>
          <w:szCs w:val="24"/>
        </w:rPr>
        <w:t>Apply</w:t>
      </w:r>
      <w:r w:rsidR="00EA0742" w:rsidRPr="00107496">
        <w:rPr>
          <w:rFonts w:ascii="Arial" w:hAnsi="Arial" w:cs="Arial"/>
          <w:color w:val="ED7D31" w:themeColor="accent2"/>
          <w:sz w:val="24"/>
          <w:szCs w:val="24"/>
        </w:rPr>
        <w:t xml:space="preserve"> </w:t>
      </w:r>
      <w:r w:rsidR="003917C6" w:rsidRPr="00107496">
        <w:rPr>
          <w:rFonts w:ascii="Arial" w:hAnsi="Arial" w:cs="Arial"/>
          <w:color w:val="ED7D31" w:themeColor="accent2"/>
          <w:sz w:val="24"/>
          <w:szCs w:val="24"/>
        </w:rPr>
        <w:t xml:space="preserve">an intersectional gender equity approach across the strategy to ensure </w:t>
      </w:r>
      <w:r w:rsidR="00E260EB">
        <w:rPr>
          <w:rFonts w:ascii="Arial" w:hAnsi="Arial" w:cs="Arial"/>
          <w:color w:val="ED7D31" w:themeColor="accent2"/>
          <w:sz w:val="24"/>
          <w:szCs w:val="24"/>
        </w:rPr>
        <w:t>it addresses</w:t>
      </w:r>
      <w:r w:rsidR="003917C6" w:rsidRPr="00107496">
        <w:rPr>
          <w:rFonts w:ascii="Arial" w:hAnsi="Arial" w:cs="Arial"/>
          <w:color w:val="ED7D31" w:themeColor="accent2"/>
          <w:sz w:val="24"/>
          <w:szCs w:val="24"/>
        </w:rPr>
        <w:t xml:space="preserve"> the diverse needs of young people</w:t>
      </w:r>
    </w:p>
    <w:p w14:paraId="275249B6" w14:textId="03D588AF" w:rsidR="00F1392C" w:rsidRPr="00014552" w:rsidRDefault="00E423DA" w:rsidP="00791A96">
      <w:pPr>
        <w:pStyle w:val="NoSpacing"/>
        <w:spacing w:after="120" w:line="276" w:lineRule="auto"/>
        <w:jc w:val="both"/>
        <w:rPr>
          <w:rFonts w:ascii="Arial" w:hAnsi="Arial" w:cs="Arial"/>
          <w:b/>
          <w:bCs/>
        </w:rPr>
      </w:pPr>
      <w:r w:rsidRPr="00014552">
        <w:rPr>
          <w:rFonts w:ascii="Arial" w:hAnsi="Arial" w:cs="Arial"/>
        </w:rPr>
        <w:t>WHV</w:t>
      </w:r>
      <w:r w:rsidR="00E260EB">
        <w:rPr>
          <w:rFonts w:ascii="Arial" w:hAnsi="Arial" w:cs="Arial"/>
        </w:rPr>
        <w:t xml:space="preserve"> welcomes</w:t>
      </w:r>
      <w:r w:rsidRPr="00014552">
        <w:rPr>
          <w:rFonts w:ascii="Arial" w:hAnsi="Arial" w:cs="Arial"/>
        </w:rPr>
        <w:t xml:space="preserve"> the inclusion of gender equality within the</w:t>
      </w:r>
      <w:r w:rsidR="00F31F76" w:rsidRPr="00014552">
        <w:rPr>
          <w:rFonts w:ascii="Arial" w:hAnsi="Arial" w:cs="Arial"/>
        </w:rPr>
        <w:t xml:space="preserve"> discussion paper</w:t>
      </w:r>
      <w:r w:rsidR="00F17C1F">
        <w:rPr>
          <w:rFonts w:ascii="Arial" w:hAnsi="Arial" w:cs="Arial"/>
        </w:rPr>
        <w:t>,</w:t>
      </w:r>
      <w:r w:rsidR="00F64AAC">
        <w:rPr>
          <w:rFonts w:ascii="Arial" w:hAnsi="Arial" w:cs="Arial"/>
        </w:rPr>
        <w:t xml:space="preserve"> recognising that gender inequality is a driver of violence against women</w:t>
      </w:r>
      <w:r w:rsidR="00F1392C" w:rsidRPr="00014552">
        <w:rPr>
          <w:rFonts w:ascii="Arial" w:hAnsi="Arial" w:cs="Arial"/>
        </w:rPr>
        <w:t xml:space="preserve">. </w:t>
      </w:r>
      <w:r w:rsidR="00E260EB">
        <w:rPr>
          <w:rFonts w:ascii="Arial" w:hAnsi="Arial" w:cs="Arial"/>
        </w:rPr>
        <w:t xml:space="preserve">We note that gender equality is essential not just to </w:t>
      </w:r>
      <w:r w:rsidR="00B96A46" w:rsidRPr="00014552">
        <w:rPr>
          <w:rFonts w:ascii="Arial" w:hAnsi="Arial" w:cs="Arial"/>
        </w:rPr>
        <w:t>prevent violence against women</w:t>
      </w:r>
      <w:r w:rsidR="00E260EB">
        <w:rPr>
          <w:rFonts w:ascii="Arial" w:hAnsi="Arial" w:cs="Arial"/>
        </w:rPr>
        <w:t xml:space="preserve">, </w:t>
      </w:r>
      <w:r w:rsidR="00E260EB" w:rsidRPr="007962FB">
        <w:rPr>
          <w:rFonts w:ascii="Arial" w:hAnsi="Arial" w:cs="Arial"/>
        </w:rPr>
        <w:t>but also to</w:t>
      </w:r>
      <w:r w:rsidR="006E7DD2" w:rsidRPr="007962FB">
        <w:rPr>
          <w:rFonts w:ascii="Arial" w:hAnsi="Arial" w:cs="Arial"/>
        </w:rPr>
        <w:t xml:space="preserve"> improve young women’s health and wellbeing</w:t>
      </w:r>
      <w:r w:rsidR="00E260EB" w:rsidRPr="007962FB">
        <w:rPr>
          <w:rFonts w:ascii="Arial" w:hAnsi="Arial" w:cs="Arial"/>
        </w:rPr>
        <w:t xml:space="preserve"> and social and economic inclusion.</w:t>
      </w:r>
      <w:r w:rsidR="00E260EB">
        <w:rPr>
          <w:rFonts w:ascii="Arial" w:hAnsi="Arial" w:cs="Arial"/>
        </w:rPr>
        <w:t xml:space="preserve"> A</w:t>
      </w:r>
      <w:r w:rsidR="00686893">
        <w:rPr>
          <w:rFonts w:ascii="Arial" w:hAnsi="Arial" w:cs="Arial"/>
        </w:rPr>
        <w:t xml:space="preserve">ctions to increase </w:t>
      </w:r>
      <w:r w:rsidR="006E7DD2" w:rsidRPr="7A5BC771">
        <w:rPr>
          <w:rFonts w:ascii="Arial" w:hAnsi="Arial" w:cs="Arial"/>
        </w:rPr>
        <w:t xml:space="preserve">gender </w:t>
      </w:r>
      <w:r w:rsidR="006E7DD2" w:rsidRPr="009708CB">
        <w:rPr>
          <w:rFonts w:ascii="Arial" w:hAnsi="Arial" w:cs="Arial"/>
        </w:rPr>
        <w:t>equ</w:t>
      </w:r>
      <w:r w:rsidR="00E260EB" w:rsidRPr="009708CB">
        <w:rPr>
          <w:rFonts w:ascii="Arial" w:hAnsi="Arial" w:cs="Arial"/>
        </w:rPr>
        <w:t>al</w:t>
      </w:r>
      <w:r w:rsidR="0021634B" w:rsidRPr="009708CB">
        <w:rPr>
          <w:rFonts w:ascii="Arial" w:hAnsi="Arial" w:cs="Arial"/>
        </w:rPr>
        <w:t>ity</w:t>
      </w:r>
      <w:r w:rsidR="006E7DD2" w:rsidRPr="009708CB">
        <w:rPr>
          <w:rFonts w:ascii="Arial" w:hAnsi="Arial" w:cs="Arial"/>
        </w:rPr>
        <w:t xml:space="preserve"> </w:t>
      </w:r>
      <w:r w:rsidR="00686893" w:rsidRPr="009708CB">
        <w:rPr>
          <w:rFonts w:ascii="Arial" w:hAnsi="Arial" w:cs="Arial"/>
        </w:rPr>
        <w:t xml:space="preserve">for young women </w:t>
      </w:r>
      <w:r w:rsidR="006E7DD2" w:rsidRPr="009708CB">
        <w:rPr>
          <w:rFonts w:ascii="Arial" w:hAnsi="Arial" w:cs="Arial"/>
        </w:rPr>
        <w:t xml:space="preserve">need to </w:t>
      </w:r>
      <w:r w:rsidR="00686893" w:rsidRPr="009708CB">
        <w:rPr>
          <w:rFonts w:ascii="Arial" w:hAnsi="Arial" w:cs="Arial"/>
        </w:rPr>
        <w:t>be considered</w:t>
      </w:r>
      <w:r w:rsidR="006E7DD2" w:rsidRPr="009708CB">
        <w:rPr>
          <w:rFonts w:ascii="Arial" w:hAnsi="Arial" w:cs="Arial"/>
        </w:rPr>
        <w:t xml:space="preserve"> across all </w:t>
      </w:r>
      <w:r w:rsidR="00E260EB" w:rsidRPr="009708CB">
        <w:rPr>
          <w:rFonts w:ascii="Arial" w:hAnsi="Arial" w:cs="Arial"/>
        </w:rPr>
        <w:t>outcome domains</w:t>
      </w:r>
      <w:r w:rsidR="006E7DD2" w:rsidRPr="009708CB">
        <w:rPr>
          <w:rFonts w:ascii="Arial" w:hAnsi="Arial" w:cs="Arial"/>
        </w:rPr>
        <w:t xml:space="preserve"> of </w:t>
      </w:r>
      <w:r w:rsidR="00E260EB" w:rsidRPr="009708CB">
        <w:rPr>
          <w:rFonts w:ascii="Arial" w:hAnsi="Arial" w:cs="Arial"/>
        </w:rPr>
        <w:t>the</w:t>
      </w:r>
      <w:r w:rsidR="006E7DD2" w:rsidRPr="009708CB">
        <w:rPr>
          <w:rFonts w:ascii="Arial" w:hAnsi="Arial" w:cs="Arial"/>
        </w:rPr>
        <w:t xml:space="preserve"> youth strategy. </w:t>
      </w:r>
      <w:r w:rsidR="00FD0C61" w:rsidRPr="009708CB">
        <w:rPr>
          <w:rFonts w:ascii="Arial" w:hAnsi="Arial" w:cs="Arial"/>
        </w:rPr>
        <w:t xml:space="preserve">Where possible, the strategy should aim to take a ‘gender-transformative’ approach, that is, an approach that seeks to challenge the causes of gender inequality and strengthen actions </w:t>
      </w:r>
      <w:r w:rsidR="00FD0C61" w:rsidRPr="009708CB">
        <w:rPr>
          <w:rFonts w:ascii="Arial" w:hAnsi="Arial" w:cs="Arial"/>
        </w:rPr>
        <w:lastRenderedPageBreak/>
        <w:t>that support gender equality – at both an individual and structural level – within any given context.</w:t>
      </w:r>
      <w:r w:rsidR="00FD0C61" w:rsidRPr="009708CB">
        <w:rPr>
          <w:rStyle w:val="FootnoteReference"/>
          <w:rFonts w:ascii="Arial" w:hAnsi="Arial" w:cs="Arial"/>
        </w:rPr>
        <w:footnoteReference w:id="7"/>
      </w:r>
    </w:p>
    <w:p w14:paraId="1D270A62" w14:textId="5391859D" w:rsidR="00E260EB" w:rsidRDefault="00E260EB" w:rsidP="00791A96">
      <w:pPr>
        <w:pStyle w:val="NoSpacing"/>
        <w:spacing w:after="120" w:line="276" w:lineRule="auto"/>
        <w:jc w:val="both"/>
        <w:rPr>
          <w:rFonts w:ascii="Arial" w:hAnsi="Arial" w:cs="Arial"/>
          <w:lang w:val="en-NZ"/>
        </w:rPr>
      </w:pPr>
      <w:r w:rsidRPr="00E260EB">
        <w:rPr>
          <w:rFonts w:ascii="Arial" w:hAnsi="Arial" w:cs="Arial"/>
          <w:lang w:val="en-NZ"/>
        </w:rPr>
        <w:t xml:space="preserve">For many </w:t>
      </w:r>
      <w:r>
        <w:rPr>
          <w:rFonts w:ascii="Arial" w:hAnsi="Arial" w:cs="Arial"/>
          <w:lang w:val="en-NZ"/>
        </w:rPr>
        <w:t xml:space="preserve">young </w:t>
      </w:r>
      <w:r w:rsidRPr="00E260EB">
        <w:rPr>
          <w:rFonts w:ascii="Arial" w:hAnsi="Arial" w:cs="Arial"/>
          <w:lang w:val="en-NZ"/>
        </w:rPr>
        <w:t xml:space="preserve">women, the impact of gender inequality is compounded by the way that gender-based discrimination interacts with other experiences of inequality. In order to achieve equality in outcomes for all </w:t>
      </w:r>
      <w:r>
        <w:rPr>
          <w:rFonts w:ascii="Arial" w:hAnsi="Arial" w:cs="Arial"/>
          <w:lang w:val="en-NZ"/>
        </w:rPr>
        <w:t>young</w:t>
      </w:r>
      <w:r w:rsidRPr="00E260EB">
        <w:rPr>
          <w:rFonts w:ascii="Arial" w:hAnsi="Arial" w:cs="Arial"/>
          <w:lang w:val="en-NZ"/>
        </w:rPr>
        <w:t xml:space="preserve"> women, we must </w:t>
      </w:r>
      <w:r>
        <w:rPr>
          <w:rFonts w:ascii="Arial" w:hAnsi="Arial" w:cs="Arial"/>
          <w:lang w:val="en-NZ"/>
        </w:rPr>
        <w:t xml:space="preserve">take an intersectional approach, </w:t>
      </w:r>
      <w:r w:rsidRPr="00E260EB">
        <w:rPr>
          <w:rFonts w:ascii="Arial" w:hAnsi="Arial" w:cs="Arial"/>
          <w:lang w:val="en-NZ"/>
        </w:rPr>
        <w:t>balanc</w:t>
      </w:r>
      <w:r>
        <w:rPr>
          <w:rFonts w:ascii="Arial" w:hAnsi="Arial" w:cs="Arial"/>
          <w:lang w:val="en-NZ"/>
        </w:rPr>
        <w:t>ing</w:t>
      </w:r>
      <w:r w:rsidRPr="00E260EB">
        <w:rPr>
          <w:rFonts w:ascii="Arial" w:hAnsi="Arial" w:cs="Arial"/>
          <w:lang w:val="en-NZ"/>
        </w:rPr>
        <w:t xml:space="preserve"> universal strategies with specialist, tailored approaches for women who experience</w:t>
      </w:r>
      <w:r>
        <w:rPr>
          <w:rFonts w:ascii="Arial" w:hAnsi="Arial" w:cs="Arial"/>
          <w:lang w:val="en-NZ"/>
        </w:rPr>
        <w:t xml:space="preserve"> different forms of</w:t>
      </w:r>
      <w:r w:rsidRPr="00E260EB">
        <w:rPr>
          <w:rFonts w:ascii="Arial" w:hAnsi="Arial" w:cs="Arial"/>
          <w:lang w:val="en-NZ"/>
        </w:rPr>
        <w:t xml:space="preserve"> disadvantage</w:t>
      </w:r>
      <w:r>
        <w:rPr>
          <w:rFonts w:ascii="Arial" w:hAnsi="Arial" w:cs="Arial"/>
          <w:lang w:val="en-NZ"/>
        </w:rPr>
        <w:t>, including</w:t>
      </w:r>
      <w:r w:rsidRPr="00E260EB">
        <w:rPr>
          <w:rFonts w:ascii="Arial" w:hAnsi="Arial" w:cs="Arial"/>
        </w:rPr>
        <w:t xml:space="preserve"> </w:t>
      </w:r>
      <w:r w:rsidRPr="00014552">
        <w:rPr>
          <w:rFonts w:ascii="Arial" w:hAnsi="Arial" w:cs="Arial"/>
        </w:rPr>
        <w:t>racism, homophobia and ableism.</w:t>
      </w:r>
      <w:r>
        <w:rPr>
          <w:rFonts w:ascii="Arial" w:hAnsi="Arial" w:cs="Arial"/>
          <w:lang w:val="en-NZ"/>
        </w:rPr>
        <w:t xml:space="preserve"> </w:t>
      </w:r>
    </w:p>
    <w:p w14:paraId="547E5FAF" w14:textId="440E0879" w:rsidR="00241CEC" w:rsidRPr="00107496" w:rsidRDefault="005B1BAC" w:rsidP="00791A96">
      <w:pPr>
        <w:pStyle w:val="NoSpacing"/>
        <w:numPr>
          <w:ilvl w:val="0"/>
          <w:numId w:val="15"/>
        </w:numPr>
        <w:spacing w:after="120" w:line="276" w:lineRule="auto"/>
        <w:jc w:val="both"/>
        <w:rPr>
          <w:rFonts w:ascii="Arial" w:hAnsi="Arial" w:cs="Arial"/>
          <w:color w:val="ED7D31" w:themeColor="accent2"/>
          <w:sz w:val="24"/>
          <w:szCs w:val="24"/>
        </w:rPr>
      </w:pPr>
      <w:r w:rsidRPr="717D599A">
        <w:rPr>
          <w:rFonts w:ascii="Arial" w:hAnsi="Arial" w:cs="Arial"/>
          <w:color w:val="ED7D31" w:themeColor="accent2"/>
          <w:sz w:val="24"/>
          <w:szCs w:val="24"/>
        </w:rPr>
        <w:t>Take a whole-of-government approach in order to address</w:t>
      </w:r>
      <w:r w:rsidR="00EA0742" w:rsidRPr="717D599A">
        <w:rPr>
          <w:rFonts w:ascii="Arial" w:hAnsi="Arial" w:cs="Arial"/>
          <w:color w:val="ED7D31" w:themeColor="accent2"/>
          <w:sz w:val="24"/>
          <w:szCs w:val="24"/>
        </w:rPr>
        <w:t xml:space="preserve"> the social determinants of </w:t>
      </w:r>
      <w:r w:rsidRPr="717D599A">
        <w:rPr>
          <w:rFonts w:ascii="Arial" w:hAnsi="Arial" w:cs="Arial"/>
          <w:color w:val="ED7D31" w:themeColor="accent2"/>
          <w:sz w:val="24"/>
          <w:szCs w:val="24"/>
        </w:rPr>
        <w:t>young people’s</w:t>
      </w:r>
      <w:r w:rsidR="3A8585A4" w:rsidRPr="717D599A">
        <w:rPr>
          <w:rFonts w:ascii="Arial" w:hAnsi="Arial" w:cs="Arial"/>
          <w:color w:val="ED7D31" w:themeColor="accent2"/>
          <w:sz w:val="24"/>
          <w:szCs w:val="24"/>
        </w:rPr>
        <w:t xml:space="preserve"> health and wellbeing</w:t>
      </w:r>
      <w:r w:rsidR="00DF162F" w:rsidRPr="717D599A">
        <w:rPr>
          <w:rFonts w:ascii="Arial" w:hAnsi="Arial" w:cs="Arial"/>
          <w:color w:val="ED7D31" w:themeColor="accent2"/>
          <w:sz w:val="24"/>
          <w:szCs w:val="24"/>
        </w:rPr>
        <w:t xml:space="preserve"> </w:t>
      </w:r>
    </w:p>
    <w:p w14:paraId="1F66983F" w14:textId="37DEEC00" w:rsidR="00304520" w:rsidRDefault="00EA0742" w:rsidP="00791A96">
      <w:pPr>
        <w:pStyle w:val="NoSpacing"/>
        <w:spacing w:after="120" w:line="276" w:lineRule="auto"/>
        <w:jc w:val="both"/>
        <w:rPr>
          <w:rFonts w:ascii="Arial" w:hAnsi="Arial" w:cs="Arial"/>
        </w:rPr>
      </w:pPr>
      <w:r w:rsidRPr="00014552">
        <w:rPr>
          <w:rFonts w:ascii="Arial" w:hAnsi="Arial" w:cs="Arial"/>
        </w:rPr>
        <w:t xml:space="preserve">A </w:t>
      </w:r>
      <w:r w:rsidR="00E201A9" w:rsidRPr="00014552">
        <w:rPr>
          <w:rFonts w:ascii="Arial" w:hAnsi="Arial" w:cs="Arial"/>
        </w:rPr>
        <w:t>social</w:t>
      </w:r>
      <w:r w:rsidRPr="00014552">
        <w:rPr>
          <w:rFonts w:ascii="Arial" w:hAnsi="Arial" w:cs="Arial"/>
        </w:rPr>
        <w:t xml:space="preserve"> </w:t>
      </w:r>
      <w:r w:rsidR="00E201A9" w:rsidRPr="00014552">
        <w:rPr>
          <w:rFonts w:ascii="Arial" w:hAnsi="Arial" w:cs="Arial"/>
        </w:rPr>
        <w:t>determinants</w:t>
      </w:r>
      <w:r w:rsidRPr="00014552">
        <w:rPr>
          <w:rFonts w:ascii="Arial" w:hAnsi="Arial" w:cs="Arial"/>
        </w:rPr>
        <w:t xml:space="preserve"> of health </w:t>
      </w:r>
      <w:r w:rsidR="00304520">
        <w:rPr>
          <w:rFonts w:ascii="Arial" w:hAnsi="Arial" w:cs="Arial"/>
        </w:rPr>
        <w:t>approach</w:t>
      </w:r>
      <w:r w:rsidRPr="00014552">
        <w:rPr>
          <w:rFonts w:ascii="Arial" w:hAnsi="Arial" w:cs="Arial"/>
        </w:rPr>
        <w:t xml:space="preserve"> </w:t>
      </w:r>
      <w:r w:rsidR="00304520">
        <w:rPr>
          <w:rFonts w:ascii="Arial" w:hAnsi="Arial" w:cs="Arial"/>
        </w:rPr>
        <w:t>recognises that people’s health and wellbeing is influenced by t</w:t>
      </w:r>
      <w:r w:rsidR="00304520" w:rsidRPr="00304520">
        <w:rPr>
          <w:rFonts w:ascii="Arial" w:hAnsi="Arial" w:cs="Arial"/>
        </w:rPr>
        <w:t xml:space="preserve">he circumstances in which </w:t>
      </w:r>
      <w:r w:rsidR="00304520">
        <w:rPr>
          <w:rFonts w:ascii="Arial" w:hAnsi="Arial" w:cs="Arial"/>
        </w:rPr>
        <w:t>they</w:t>
      </w:r>
      <w:r w:rsidR="00304520" w:rsidRPr="00304520">
        <w:rPr>
          <w:rFonts w:ascii="Arial" w:hAnsi="Arial" w:cs="Arial"/>
        </w:rPr>
        <w:t xml:space="preserve"> are born, grow up, live, </w:t>
      </w:r>
      <w:r w:rsidR="00304520">
        <w:rPr>
          <w:rFonts w:ascii="Arial" w:hAnsi="Arial" w:cs="Arial"/>
        </w:rPr>
        <w:t xml:space="preserve">learn, </w:t>
      </w:r>
      <w:r w:rsidR="00304520" w:rsidRPr="00304520">
        <w:rPr>
          <w:rFonts w:ascii="Arial" w:hAnsi="Arial" w:cs="Arial"/>
        </w:rPr>
        <w:t>work</w:t>
      </w:r>
      <w:r w:rsidR="00304520">
        <w:rPr>
          <w:rFonts w:ascii="Arial" w:hAnsi="Arial" w:cs="Arial"/>
        </w:rPr>
        <w:t xml:space="preserve"> </w:t>
      </w:r>
      <w:r w:rsidR="00304520" w:rsidRPr="00304520">
        <w:rPr>
          <w:rFonts w:ascii="Arial" w:hAnsi="Arial" w:cs="Arial"/>
        </w:rPr>
        <w:t>and play, and the wider set of forces and systems shaping these conditions</w:t>
      </w:r>
      <w:r w:rsidR="00304520">
        <w:rPr>
          <w:rFonts w:ascii="Arial" w:hAnsi="Arial" w:cs="Arial"/>
        </w:rPr>
        <w:t>,</w:t>
      </w:r>
      <w:r w:rsidR="00304520" w:rsidRPr="00304520">
        <w:rPr>
          <w:rFonts w:ascii="Arial" w:hAnsi="Arial" w:cs="Arial"/>
        </w:rPr>
        <w:t xml:space="preserve"> such as </w:t>
      </w:r>
      <w:r w:rsidR="00304520">
        <w:rPr>
          <w:rFonts w:ascii="Arial" w:hAnsi="Arial" w:cs="Arial"/>
        </w:rPr>
        <w:t xml:space="preserve">the </w:t>
      </w:r>
      <w:r w:rsidR="00304520" w:rsidRPr="00304520">
        <w:rPr>
          <w:rFonts w:ascii="Arial" w:hAnsi="Arial" w:cs="Arial"/>
        </w:rPr>
        <w:t>distribution of money, power and resources.</w:t>
      </w:r>
      <w:r w:rsidR="00304520">
        <w:rPr>
          <w:rStyle w:val="FootnoteReference"/>
          <w:rFonts w:ascii="Arial" w:hAnsi="Arial" w:cs="Arial"/>
        </w:rPr>
        <w:footnoteReference w:id="8"/>
      </w:r>
    </w:p>
    <w:p w14:paraId="7459E0D4" w14:textId="52AB001C" w:rsidR="00304520" w:rsidRDefault="00304520" w:rsidP="00791A96">
      <w:pPr>
        <w:pStyle w:val="NoSpacing"/>
        <w:spacing w:after="120" w:line="276" w:lineRule="auto"/>
        <w:jc w:val="both"/>
        <w:rPr>
          <w:rFonts w:ascii="Arial" w:hAnsi="Arial" w:cs="Arial"/>
        </w:rPr>
      </w:pPr>
      <w:r w:rsidRPr="00304520">
        <w:rPr>
          <w:rFonts w:ascii="Arial" w:hAnsi="Arial" w:cs="Arial"/>
          <w:lang w:val="en-NZ"/>
        </w:rPr>
        <w:t>Gender is increasingly recognised as an important social determinant of health. In fact, gender ‘cross-cuts all of the other biological and social determinants that construct human health. Gender influences education, income, reproductive roles, and caring responsibilities, among other determinants.’</w:t>
      </w:r>
      <w:r>
        <w:rPr>
          <w:rStyle w:val="FootnoteReference"/>
          <w:rFonts w:ascii="Arial" w:hAnsi="Arial" w:cs="Arial"/>
          <w:lang w:val="en-NZ"/>
        </w:rPr>
        <w:footnoteReference w:id="9"/>
      </w:r>
      <w:r w:rsidR="00EA0742" w:rsidRPr="00014552">
        <w:rPr>
          <w:rFonts w:ascii="Arial" w:hAnsi="Arial" w:cs="Arial"/>
        </w:rPr>
        <w:t xml:space="preserve"> </w:t>
      </w:r>
    </w:p>
    <w:p w14:paraId="46CC329F" w14:textId="29CACBE6" w:rsidR="006650C3" w:rsidRPr="00014552" w:rsidRDefault="00304520" w:rsidP="00791A96">
      <w:pPr>
        <w:pStyle w:val="NoSpacing"/>
        <w:spacing w:after="120" w:line="276" w:lineRule="auto"/>
        <w:jc w:val="both"/>
        <w:rPr>
          <w:rFonts w:ascii="Arial" w:hAnsi="Arial" w:cs="Arial"/>
        </w:rPr>
      </w:pPr>
      <w:r>
        <w:rPr>
          <w:rFonts w:ascii="Arial" w:hAnsi="Arial" w:cs="Arial"/>
        </w:rPr>
        <w:t xml:space="preserve">In addition to gender, young people’s health and wellbeing is influenced by their economic circumstances, housing status, education, </w:t>
      </w:r>
      <w:r w:rsidR="00E201A9" w:rsidRPr="00014552">
        <w:rPr>
          <w:rFonts w:ascii="Arial" w:hAnsi="Arial" w:cs="Arial"/>
        </w:rPr>
        <w:t xml:space="preserve">access to health care, </w:t>
      </w:r>
      <w:r>
        <w:rPr>
          <w:rFonts w:ascii="Arial" w:hAnsi="Arial" w:cs="Arial"/>
        </w:rPr>
        <w:t xml:space="preserve">and physical environment, among other factors. </w:t>
      </w:r>
      <w:r w:rsidR="00E201A9" w:rsidRPr="00014552">
        <w:rPr>
          <w:rFonts w:ascii="Arial" w:hAnsi="Arial" w:cs="Arial"/>
        </w:rPr>
        <w:t xml:space="preserve"> </w:t>
      </w:r>
    </w:p>
    <w:p w14:paraId="0CA306F4" w14:textId="146BF9A3" w:rsidR="00E423DA" w:rsidRPr="00014552" w:rsidRDefault="00304520" w:rsidP="00791A96">
      <w:pPr>
        <w:pStyle w:val="NoSpacing"/>
        <w:spacing w:after="120" w:line="276" w:lineRule="auto"/>
        <w:jc w:val="both"/>
        <w:rPr>
          <w:rFonts w:ascii="Arial" w:hAnsi="Arial" w:cs="Arial"/>
        </w:rPr>
      </w:pPr>
      <w:r>
        <w:rPr>
          <w:rFonts w:ascii="Arial" w:hAnsi="Arial" w:cs="Arial"/>
        </w:rPr>
        <w:t xml:space="preserve">A whole-of-government approach is necessary to ensure that the multiplicity of factors that influence young people’s social, economic and health outcomes </w:t>
      </w:r>
      <w:r w:rsidR="005B1BAC">
        <w:rPr>
          <w:rFonts w:ascii="Arial" w:hAnsi="Arial" w:cs="Arial"/>
        </w:rPr>
        <w:t>are addressed through c</w:t>
      </w:r>
      <w:r w:rsidR="006E7DD2" w:rsidRPr="00014552">
        <w:rPr>
          <w:rFonts w:ascii="Arial" w:hAnsi="Arial" w:cs="Arial"/>
        </w:rPr>
        <w:t xml:space="preserve">ross-sector collaboration and coordination. </w:t>
      </w:r>
    </w:p>
    <w:p w14:paraId="74DE430F" w14:textId="6967DED9" w:rsidR="00E423DA" w:rsidRPr="00107496" w:rsidRDefault="005B1BAC" w:rsidP="00791A96">
      <w:pPr>
        <w:pStyle w:val="NoSpacing"/>
        <w:numPr>
          <w:ilvl w:val="0"/>
          <w:numId w:val="15"/>
        </w:numPr>
        <w:spacing w:after="120" w:line="276" w:lineRule="auto"/>
        <w:jc w:val="both"/>
        <w:rPr>
          <w:rFonts w:ascii="Arial" w:hAnsi="Arial" w:cs="Arial"/>
          <w:color w:val="ED7D31" w:themeColor="accent2"/>
          <w:sz w:val="24"/>
          <w:szCs w:val="24"/>
        </w:rPr>
      </w:pPr>
      <w:r>
        <w:rPr>
          <w:rFonts w:ascii="Arial" w:hAnsi="Arial" w:cs="Arial"/>
          <w:color w:val="ED7D31" w:themeColor="accent2"/>
          <w:sz w:val="24"/>
          <w:szCs w:val="24"/>
        </w:rPr>
        <w:t>Ensure a strong</w:t>
      </w:r>
      <w:r w:rsidR="00EA0742" w:rsidRPr="00107496">
        <w:rPr>
          <w:rFonts w:ascii="Arial" w:hAnsi="Arial" w:cs="Arial"/>
          <w:color w:val="ED7D31" w:themeColor="accent2"/>
          <w:sz w:val="24"/>
          <w:szCs w:val="24"/>
        </w:rPr>
        <w:t xml:space="preserve"> focus on primary prevention and early intervention </w:t>
      </w:r>
      <w:r w:rsidR="00E423DA" w:rsidRPr="00107496">
        <w:rPr>
          <w:rFonts w:ascii="Arial" w:hAnsi="Arial" w:cs="Arial"/>
          <w:color w:val="ED7D31" w:themeColor="accent2"/>
          <w:sz w:val="24"/>
          <w:szCs w:val="24"/>
        </w:rPr>
        <w:t xml:space="preserve">across </w:t>
      </w:r>
      <w:r w:rsidR="00DB0A88">
        <w:rPr>
          <w:rFonts w:ascii="Arial" w:hAnsi="Arial" w:cs="Arial"/>
          <w:color w:val="ED7D31" w:themeColor="accent2"/>
          <w:sz w:val="24"/>
          <w:szCs w:val="24"/>
        </w:rPr>
        <w:t>the strategy</w:t>
      </w:r>
      <w:r w:rsidR="00E423DA" w:rsidRPr="00107496">
        <w:rPr>
          <w:rFonts w:ascii="Arial" w:hAnsi="Arial" w:cs="Arial"/>
          <w:color w:val="ED7D31" w:themeColor="accent2"/>
          <w:sz w:val="24"/>
          <w:szCs w:val="24"/>
        </w:rPr>
        <w:t xml:space="preserve"> to support young </w:t>
      </w:r>
      <w:r>
        <w:rPr>
          <w:rFonts w:ascii="Arial" w:hAnsi="Arial" w:cs="Arial"/>
          <w:color w:val="ED7D31" w:themeColor="accent2"/>
          <w:sz w:val="24"/>
          <w:szCs w:val="24"/>
        </w:rPr>
        <w:t>people’s</w:t>
      </w:r>
      <w:r w:rsidR="00E423DA" w:rsidRPr="00107496">
        <w:rPr>
          <w:rFonts w:ascii="Arial" w:hAnsi="Arial" w:cs="Arial"/>
          <w:color w:val="ED7D31" w:themeColor="accent2"/>
          <w:sz w:val="24"/>
          <w:szCs w:val="24"/>
        </w:rPr>
        <w:t xml:space="preserve"> health</w:t>
      </w:r>
      <w:r w:rsidR="00684F30">
        <w:rPr>
          <w:rFonts w:ascii="Arial" w:hAnsi="Arial" w:cs="Arial"/>
          <w:color w:val="ED7D31" w:themeColor="accent2"/>
          <w:sz w:val="24"/>
          <w:szCs w:val="24"/>
        </w:rPr>
        <w:t>, wellbeing and inclusion</w:t>
      </w:r>
    </w:p>
    <w:p w14:paraId="213A7065" w14:textId="59750598" w:rsidR="00684F30" w:rsidRDefault="005B1BAC" w:rsidP="00791A96">
      <w:pPr>
        <w:pStyle w:val="NoSpacing"/>
        <w:spacing w:after="120" w:line="276" w:lineRule="auto"/>
        <w:jc w:val="both"/>
        <w:rPr>
          <w:rFonts w:ascii="Arial" w:hAnsi="Arial" w:cs="Arial"/>
        </w:rPr>
      </w:pPr>
      <w:r>
        <w:rPr>
          <w:rFonts w:ascii="Arial" w:hAnsi="Arial" w:cs="Arial"/>
        </w:rPr>
        <w:t xml:space="preserve">When thinking about young people, there are </w:t>
      </w:r>
      <w:r w:rsidR="00684F30">
        <w:rPr>
          <w:rFonts w:ascii="Arial" w:hAnsi="Arial" w:cs="Arial"/>
        </w:rPr>
        <w:t>several</w:t>
      </w:r>
      <w:r>
        <w:rPr>
          <w:rFonts w:ascii="Arial" w:hAnsi="Arial" w:cs="Arial"/>
        </w:rPr>
        <w:t xml:space="preserve"> ways in which primary prevention and early intervention are important. </w:t>
      </w:r>
    </w:p>
    <w:p w14:paraId="0A0553F9" w14:textId="0973240B" w:rsidR="00684F30" w:rsidRDefault="005B1BAC" w:rsidP="00791A96">
      <w:pPr>
        <w:pStyle w:val="NoSpacing"/>
        <w:spacing w:after="120" w:line="276" w:lineRule="auto"/>
        <w:jc w:val="both"/>
        <w:rPr>
          <w:rFonts w:ascii="Arial" w:hAnsi="Arial" w:cs="Arial"/>
        </w:rPr>
      </w:pPr>
      <w:r>
        <w:rPr>
          <w:rFonts w:ascii="Arial" w:hAnsi="Arial" w:cs="Arial"/>
        </w:rPr>
        <w:t xml:space="preserve">First, preventing ill-health and social exclusion or intervening to address emerging health and social problems early in a person’s life – during their youth – will set them up for a healthy, happy and productive adulthood. For example, ensuring that young people have access to youth-friendly sexual and reproductive health information and services is critical for their whole-of-life trajectory. </w:t>
      </w:r>
    </w:p>
    <w:p w14:paraId="21546ED1" w14:textId="72AD56D7" w:rsidR="003D1BF9" w:rsidRPr="00014552" w:rsidRDefault="005B1BAC" w:rsidP="00791A96">
      <w:pPr>
        <w:pStyle w:val="NoSpacing"/>
        <w:spacing w:after="120" w:line="276" w:lineRule="auto"/>
        <w:jc w:val="both"/>
        <w:rPr>
          <w:rFonts w:ascii="Arial" w:hAnsi="Arial" w:cs="Arial"/>
        </w:rPr>
      </w:pPr>
      <w:r>
        <w:rPr>
          <w:rFonts w:ascii="Arial" w:hAnsi="Arial" w:cs="Arial"/>
        </w:rPr>
        <w:t xml:space="preserve">Second, primary prevention and early intervention are key to ensuring the best outcomes for young people during their youth – ensuring that health and other issues are prevented </w:t>
      </w:r>
      <w:r w:rsidR="00684F30">
        <w:rPr>
          <w:rFonts w:ascii="Arial" w:hAnsi="Arial" w:cs="Arial"/>
        </w:rPr>
        <w:t xml:space="preserve">at a </w:t>
      </w:r>
      <w:r w:rsidR="00684F30">
        <w:rPr>
          <w:rFonts w:ascii="Arial" w:hAnsi="Arial" w:cs="Arial"/>
        </w:rPr>
        <w:lastRenderedPageBreak/>
        <w:t xml:space="preserve">population level </w:t>
      </w:r>
      <w:r>
        <w:rPr>
          <w:rFonts w:ascii="Arial" w:hAnsi="Arial" w:cs="Arial"/>
        </w:rPr>
        <w:t>before they occur</w:t>
      </w:r>
      <w:r w:rsidR="00684F30">
        <w:rPr>
          <w:rFonts w:ascii="Arial" w:hAnsi="Arial" w:cs="Arial"/>
        </w:rPr>
        <w:t xml:space="preserve">, as well as targeting </w:t>
      </w:r>
      <w:r w:rsidR="00F04028">
        <w:rPr>
          <w:rFonts w:ascii="Arial" w:hAnsi="Arial" w:cs="Arial"/>
        </w:rPr>
        <w:t>‘</w:t>
      </w:r>
      <w:r w:rsidR="00684F30">
        <w:rPr>
          <w:rFonts w:ascii="Arial" w:hAnsi="Arial" w:cs="Arial"/>
        </w:rPr>
        <w:t>at-risk</w:t>
      </w:r>
      <w:r w:rsidR="00F04028">
        <w:rPr>
          <w:rFonts w:ascii="Arial" w:hAnsi="Arial" w:cs="Arial"/>
        </w:rPr>
        <w:t>’</w:t>
      </w:r>
      <w:r w:rsidR="00684F30">
        <w:rPr>
          <w:rFonts w:ascii="Arial" w:hAnsi="Arial" w:cs="Arial"/>
        </w:rPr>
        <w:t xml:space="preserve"> groups and/or individuals experiencing emerging issues through early intervention</w:t>
      </w:r>
      <w:r>
        <w:rPr>
          <w:rFonts w:ascii="Arial" w:hAnsi="Arial" w:cs="Arial"/>
        </w:rPr>
        <w:t xml:space="preserve">. For example, </w:t>
      </w:r>
      <w:r w:rsidR="00684F30">
        <w:rPr>
          <w:rFonts w:ascii="Arial" w:hAnsi="Arial" w:cs="Arial"/>
        </w:rPr>
        <w:t xml:space="preserve">primary prevention of violence against young women, through population- or sub-population level initiatives that address the gendered drivers of violence, is key to keeping young women safe. Initiatives to </w:t>
      </w:r>
      <w:r w:rsidR="00F04028">
        <w:rPr>
          <w:rFonts w:ascii="Arial" w:hAnsi="Arial" w:cs="Arial"/>
        </w:rPr>
        <w:t xml:space="preserve">proactively </w:t>
      </w:r>
      <w:r w:rsidR="00684F30">
        <w:rPr>
          <w:rFonts w:ascii="Arial" w:hAnsi="Arial" w:cs="Arial"/>
        </w:rPr>
        <w:t xml:space="preserve">support the social inclusion of young people who have had contact with child protection </w:t>
      </w:r>
      <w:r w:rsidR="00F04028">
        <w:rPr>
          <w:rFonts w:ascii="Arial" w:hAnsi="Arial" w:cs="Arial"/>
        </w:rPr>
        <w:t xml:space="preserve">(as a group at risk of poor health, social and economic outcomes) </w:t>
      </w:r>
      <w:r w:rsidR="00684F30">
        <w:rPr>
          <w:rFonts w:ascii="Arial" w:hAnsi="Arial" w:cs="Arial"/>
        </w:rPr>
        <w:t>will reduce the likelihood that they will experience</w:t>
      </w:r>
      <w:r w:rsidR="00F04028">
        <w:rPr>
          <w:rFonts w:ascii="Arial" w:hAnsi="Arial" w:cs="Arial"/>
        </w:rPr>
        <w:t xml:space="preserve"> further</w:t>
      </w:r>
      <w:r w:rsidR="00684F30">
        <w:rPr>
          <w:rFonts w:ascii="Arial" w:hAnsi="Arial" w:cs="Arial"/>
        </w:rPr>
        <w:t xml:space="preserve"> </w:t>
      </w:r>
      <w:r w:rsidR="00F04028">
        <w:rPr>
          <w:rFonts w:ascii="Arial" w:hAnsi="Arial" w:cs="Arial"/>
        </w:rPr>
        <w:t xml:space="preserve">setbacks, such as contact with the criminal justice system. </w:t>
      </w:r>
      <w:r w:rsidR="00684F30">
        <w:rPr>
          <w:rFonts w:ascii="Arial" w:hAnsi="Arial" w:cs="Arial"/>
        </w:rPr>
        <w:t xml:space="preserve">Early intervention with individuals early in the onset of mental illness is likely to support the best health outcomes.  </w:t>
      </w:r>
    </w:p>
    <w:p w14:paraId="7DBDE29D" w14:textId="750FEAD7" w:rsidR="003D1BF9" w:rsidRPr="002813F1" w:rsidRDefault="001E51BA" w:rsidP="008802A1">
      <w:pPr>
        <w:pStyle w:val="Heading2"/>
        <w:spacing w:before="240" w:after="120"/>
        <w:jc w:val="both"/>
        <w:rPr>
          <w:b/>
          <w:bCs/>
          <w:lang w:eastAsia="en-AU"/>
        </w:rPr>
      </w:pPr>
      <w:bookmarkStart w:id="4" w:name="_Toc59045875"/>
      <w:r w:rsidRPr="002813F1">
        <w:rPr>
          <w:b/>
          <w:bCs/>
          <w:lang w:eastAsia="en-AU"/>
        </w:rPr>
        <w:t>Summary of recommendations</w:t>
      </w:r>
      <w:bookmarkEnd w:id="4"/>
    </w:p>
    <w:p w14:paraId="783E5BFA" w14:textId="3F152E7A" w:rsidR="00107496" w:rsidRDefault="009335BB" w:rsidP="00791A96">
      <w:pPr>
        <w:pStyle w:val="NoSpacing"/>
        <w:spacing w:after="120" w:line="276" w:lineRule="auto"/>
        <w:jc w:val="both"/>
        <w:rPr>
          <w:rFonts w:ascii="Arial" w:hAnsi="Arial" w:cs="Arial"/>
        </w:rPr>
      </w:pPr>
      <w:r w:rsidRPr="00014552">
        <w:rPr>
          <w:rFonts w:ascii="Arial" w:hAnsi="Arial" w:cs="Arial"/>
        </w:rPr>
        <w:t xml:space="preserve">WHV </w:t>
      </w:r>
      <w:r w:rsidR="00F40D59">
        <w:rPr>
          <w:rFonts w:ascii="Arial" w:hAnsi="Arial" w:cs="Arial"/>
        </w:rPr>
        <w:t xml:space="preserve">makes </w:t>
      </w:r>
      <w:r w:rsidRPr="00014552">
        <w:rPr>
          <w:rFonts w:ascii="Arial" w:hAnsi="Arial" w:cs="Arial"/>
        </w:rPr>
        <w:t>the following</w:t>
      </w:r>
      <w:r w:rsidR="00F40D59">
        <w:rPr>
          <w:rFonts w:ascii="Arial" w:hAnsi="Arial" w:cs="Arial"/>
        </w:rPr>
        <w:t xml:space="preserve"> recommendations</w:t>
      </w:r>
      <w:r w:rsidRPr="00014552">
        <w:rPr>
          <w:rFonts w:ascii="Arial" w:hAnsi="Arial" w:cs="Arial"/>
        </w:rPr>
        <w:t>:</w:t>
      </w:r>
    </w:p>
    <w:p w14:paraId="2C84B98F" w14:textId="1FA512BA" w:rsidR="002813F1" w:rsidRPr="002813F1" w:rsidRDefault="002813F1" w:rsidP="00791A96">
      <w:pPr>
        <w:pStyle w:val="NoSpacing"/>
        <w:spacing w:after="120" w:line="276" w:lineRule="auto"/>
        <w:ind w:right="-329"/>
        <w:jc w:val="both"/>
        <w:rPr>
          <w:rFonts w:ascii="Arial" w:hAnsi="Arial" w:cs="Arial"/>
          <w:color w:val="ED7D31" w:themeColor="accent2"/>
          <w:sz w:val="24"/>
          <w:szCs w:val="24"/>
        </w:rPr>
      </w:pPr>
      <w:r w:rsidRPr="002813F1">
        <w:rPr>
          <w:rFonts w:ascii="Arial" w:hAnsi="Arial" w:cs="Arial"/>
          <w:color w:val="ED7D31" w:themeColor="accent2"/>
          <w:sz w:val="24"/>
          <w:szCs w:val="24"/>
        </w:rPr>
        <w:t>Overarching</w:t>
      </w:r>
    </w:p>
    <w:p w14:paraId="1ACC3ADF" w14:textId="4BAA45B1" w:rsidR="002813F1" w:rsidRPr="00F40D59" w:rsidRDefault="002813F1" w:rsidP="00791A96">
      <w:pPr>
        <w:pStyle w:val="NoSpacing"/>
        <w:spacing w:after="120" w:line="276" w:lineRule="auto"/>
        <w:jc w:val="both"/>
        <w:rPr>
          <w:rFonts w:ascii="Arial" w:hAnsi="Arial" w:cs="Arial"/>
          <w:color w:val="ED7D31" w:themeColor="accent2"/>
          <w:sz w:val="24"/>
          <w:szCs w:val="24"/>
        </w:rPr>
      </w:pPr>
      <w:r w:rsidRPr="000C5939">
        <w:rPr>
          <w:rFonts w:ascii="Arial" w:hAnsi="Arial" w:cs="Arial"/>
          <w:b/>
          <w:bCs/>
        </w:rPr>
        <w:t>Recommendation 1:</w:t>
      </w:r>
      <w:r w:rsidRPr="000C5939">
        <w:rPr>
          <w:rFonts w:ascii="Arial" w:hAnsi="Arial" w:cs="Arial"/>
        </w:rPr>
        <w:t xml:space="preserve"> </w:t>
      </w:r>
      <w:r w:rsidR="00F04028" w:rsidRPr="000C5939">
        <w:rPr>
          <w:rFonts w:ascii="Arial" w:hAnsi="Arial" w:cs="Arial"/>
        </w:rPr>
        <w:t>Focus efforts on</w:t>
      </w:r>
      <w:r w:rsidR="00F40D59" w:rsidRPr="000C5939">
        <w:rPr>
          <w:rFonts w:ascii="Arial" w:hAnsi="Arial" w:cs="Arial"/>
        </w:rPr>
        <w:t xml:space="preserve"> promot</w:t>
      </w:r>
      <w:r w:rsidR="00F04028" w:rsidRPr="000C5939">
        <w:rPr>
          <w:rFonts w:ascii="Arial" w:hAnsi="Arial" w:cs="Arial"/>
        </w:rPr>
        <w:t>ing</w:t>
      </w:r>
      <w:r w:rsidR="00F40D59" w:rsidRPr="000C5939">
        <w:rPr>
          <w:rFonts w:ascii="Arial" w:hAnsi="Arial" w:cs="Arial"/>
        </w:rPr>
        <w:t xml:space="preserve"> gender equ</w:t>
      </w:r>
      <w:r w:rsidR="00F04028" w:rsidRPr="000C5939">
        <w:rPr>
          <w:rFonts w:ascii="Arial" w:hAnsi="Arial" w:cs="Arial"/>
        </w:rPr>
        <w:t>al</w:t>
      </w:r>
      <w:r w:rsidR="00F40D59" w:rsidRPr="000C5939">
        <w:rPr>
          <w:rFonts w:ascii="Arial" w:hAnsi="Arial" w:cs="Arial"/>
        </w:rPr>
        <w:t>ity as a contributing factor to improve outcomes for young women across all outcome domains of the Victorian Youth Strategy.</w:t>
      </w:r>
      <w:r>
        <w:rPr>
          <w:rFonts w:ascii="Arial" w:hAnsi="Arial" w:cs="Arial"/>
        </w:rPr>
        <w:t xml:space="preserve">  </w:t>
      </w:r>
    </w:p>
    <w:p w14:paraId="50D9B9E8" w14:textId="4DE035D1" w:rsidR="00107496" w:rsidRPr="00107496" w:rsidRDefault="00107496" w:rsidP="00791A96">
      <w:pPr>
        <w:pStyle w:val="NoSpacing"/>
        <w:spacing w:after="120" w:line="276" w:lineRule="auto"/>
        <w:ind w:right="-329"/>
        <w:jc w:val="both"/>
        <w:rPr>
          <w:rFonts w:ascii="Arial" w:hAnsi="Arial" w:cs="Arial"/>
          <w:color w:val="ED7D31" w:themeColor="accent2"/>
          <w:sz w:val="24"/>
          <w:szCs w:val="24"/>
        </w:rPr>
      </w:pPr>
      <w:r w:rsidRPr="00107496">
        <w:rPr>
          <w:rFonts w:ascii="Arial" w:hAnsi="Arial" w:cs="Arial"/>
          <w:color w:val="ED7D31" w:themeColor="accent2"/>
          <w:sz w:val="24"/>
          <w:szCs w:val="24"/>
        </w:rPr>
        <w:t xml:space="preserve">Mental </w:t>
      </w:r>
      <w:r w:rsidR="00F40D59">
        <w:rPr>
          <w:rFonts w:ascii="Arial" w:hAnsi="Arial" w:cs="Arial"/>
          <w:color w:val="ED7D31" w:themeColor="accent2"/>
          <w:sz w:val="24"/>
          <w:szCs w:val="24"/>
        </w:rPr>
        <w:t>h</w:t>
      </w:r>
      <w:r w:rsidRPr="00107496">
        <w:rPr>
          <w:rFonts w:ascii="Arial" w:hAnsi="Arial" w:cs="Arial"/>
          <w:color w:val="ED7D31" w:themeColor="accent2"/>
          <w:sz w:val="24"/>
          <w:szCs w:val="24"/>
        </w:rPr>
        <w:t xml:space="preserve">ealth </w:t>
      </w:r>
    </w:p>
    <w:p w14:paraId="0D95F8D5" w14:textId="5ECC6DFD" w:rsidR="000C5939" w:rsidRPr="000C5939" w:rsidRDefault="002813F1" w:rsidP="00791A96">
      <w:pPr>
        <w:spacing w:after="120" w:line="276" w:lineRule="auto"/>
        <w:jc w:val="both"/>
        <w:rPr>
          <w:rFonts w:ascii="Arial" w:eastAsia="Times New Roman" w:hAnsi="Arial" w:cs="Arial"/>
          <w:lang w:eastAsia="en-AU"/>
        </w:rPr>
      </w:pPr>
      <w:r>
        <w:rPr>
          <w:rFonts w:ascii="Arial" w:hAnsi="Arial" w:cs="Arial"/>
          <w:b/>
          <w:bCs/>
        </w:rPr>
        <w:t xml:space="preserve">Recommendation </w:t>
      </w:r>
      <w:r w:rsidR="00F40D59">
        <w:rPr>
          <w:rFonts w:ascii="Arial" w:hAnsi="Arial" w:cs="Arial"/>
          <w:b/>
          <w:bCs/>
        </w:rPr>
        <w:t>2</w:t>
      </w:r>
      <w:r>
        <w:rPr>
          <w:rFonts w:ascii="Arial" w:hAnsi="Arial" w:cs="Arial"/>
          <w:b/>
          <w:bCs/>
        </w:rPr>
        <w:t>:</w:t>
      </w:r>
      <w:r>
        <w:rPr>
          <w:rFonts w:ascii="Arial" w:hAnsi="Arial" w:cs="Arial"/>
        </w:rPr>
        <w:t xml:space="preserve"> </w:t>
      </w:r>
      <w:r w:rsidR="000C5939">
        <w:rPr>
          <w:rFonts w:ascii="Arial" w:hAnsi="Arial" w:cs="Arial"/>
        </w:rPr>
        <w:t>I</w:t>
      </w:r>
      <w:r w:rsidR="000C5939" w:rsidRPr="000C5939">
        <w:rPr>
          <w:rFonts w:ascii="Arial" w:eastAsia="Times New Roman" w:hAnsi="Arial" w:cs="Arial"/>
          <w:lang w:eastAsia="en-AU"/>
        </w:rPr>
        <w:t>nvest in an intersectional gender-sensitive approach to youth mental health promotion to address the drivers of poor mental health among girls and young women, including gender inequality.</w:t>
      </w:r>
    </w:p>
    <w:p w14:paraId="2DC464A7" w14:textId="046108AC" w:rsidR="002813F1" w:rsidRPr="000C5939" w:rsidRDefault="002813F1" w:rsidP="00791A96">
      <w:pPr>
        <w:spacing w:after="120" w:line="276" w:lineRule="auto"/>
        <w:jc w:val="both"/>
        <w:rPr>
          <w:rFonts w:ascii="Arial" w:eastAsia="Times New Roman" w:hAnsi="Arial" w:cs="Arial"/>
          <w:lang w:eastAsia="en-AU"/>
        </w:rPr>
      </w:pPr>
      <w:r>
        <w:rPr>
          <w:rFonts w:ascii="Arial" w:hAnsi="Arial" w:cs="Arial"/>
          <w:b/>
          <w:bCs/>
        </w:rPr>
        <w:t xml:space="preserve">Recommendation </w:t>
      </w:r>
      <w:r w:rsidR="00F40D59">
        <w:rPr>
          <w:rFonts w:ascii="Arial" w:hAnsi="Arial" w:cs="Arial"/>
          <w:b/>
          <w:bCs/>
        </w:rPr>
        <w:t>3</w:t>
      </w:r>
      <w:r>
        <w:rPr>
          <w:rFonts w:ascii="Arial" w:hAnsi="Arial" w:cs="Arial"/>
          <w:b/>
          <w:bCs/>
        </w:rPr>
        <w:t>:</w:t>
      </w:r>
      <w:r>
        <w:rPr>
          <w:rFonts w:ascii="Arial" w:hAnsi="Arial" w:cs="Arial"/>
        </w:rPr>
        <w:t xml:space="preserve"> </w:t>
      </w:r>
      <w:r w:rsidR="000C5939" w:rsidRPr="000C5939">
        <w:rPr>
          <w:rFonts w:ascii="Arial" w:eastAsia="Times New Roman" w:hAnsi="Arial" w:cs="Arial"/>
          <w:lang w:eastAsia="en-AU"/>
        </w:rPr>
        <w:t>Take an intersectional, trauma-informed and gender-responsive approach to delivery of youth mental health services.</w:t>
      </w:r>
    </w:p>
    <w:p w14:paraId="6F7CEBE0" w14:textId="28E0A14A" w:rsidR="002813F1" w:rsidRPr="000C5939" w:rsidRDefault="002813F1" w:rsidP="00791A96">
      <w:pPr>
        <w:spacing w:after="120" w:line="276" w:lineRule="auto"/>
        <w:jc w:val="both"/>
        <w:rPr>
          <w:rFonts w:ascii="Arial" w:eastAsia="Times New Roman" w:hAnsi="Arial" w:cs="Arial"/>
          <w:lang w:eastAsia="en-AU"/>
        </w:rPr>
      </w:pPr>
      <w:r>
        <w:rPr>
          <w:rFonts w:ascii="Arial" w:hAnsi="Arial" w:cs="Arial"/>
          <w:b/>
          <w:bCs/>
        </w:rPr>
        <w:t xml:space="preserve">Recommendation </w:t>
      </w:r>
      <w:r w:rsidR="00F40D59" w:rsidRPr="00454CBF">
        <w:rPr>
          <w:rFonts w:ascii="Arial" w:hAnsi="Arial" w:cs="Arial"/>
          <w:b/>
          <w:bCs/>
        </w:rPr>
        <w:t>4</w:t>
      </w:r>
      <w:r w:rsidRPr="00454CBF">
        <w:rPr>
          <w:rFonts w:ascii="Arial" w:hAnsi="Arial" w:cs="Arial"/>
          <w:b/>
          <w:bCs/>
        </w:rPr>
        <w:t>:</w:t>
      </w:r>
      <w:r w:rsidRPr="00454CBF">
        <w:rPr>
          <w:rFonts w:ascii="Arial" w:hAnsi="Arial" w:cs="Arial"/>
        </w:rPr>
        <w:t xml:space="preserve"> </w:t>
      </w:r>
      <w:r w:rsidR="000C5939" w:rsidRPr="000C5939">
        <w:rPr>
          <w:rFonts w:ascii="Arial" w:eastAsia="Times New Roman" w:hAnsi="Arial" w:cs="Arial"/>
          <w:lang w:eastAsia="en-AU"/>
        </w:rPr>
        <w:t>Address barriers to help-seeking among young women.</w:t>
      </w:r>
    </w:p>
    <w:p w14:paraId="06CAC56E" w14:textId="25279C6C" w:rsidR="008D4D98" w:rsidRDefault="00F40D59" w:rsidP="00791A96">
      <w:pPr>
        <w:pStyle w:val="NoSpacing"/>
        <w:spacing w:after="120" w:line="276" w:lineRule="auto"/>
        <w:ind w:right="-329"/>
        <w:jc w:val="both"/>
        <w:rPr>
          <w:rFonts w:ascii="Arial" w:hAnsi="Arial" w:cs="Arial"/>
          <w:color w:val="ED7D31" w:themeColor="accent2"/>
          <w:sz w:val="24"/>
          <w:szCs w:val="24"/>
        </w:rPr>
      </w:pPr>
      <w:r>
        <w:rPr>
          <w:rFonts w:ascii="Arial" w:hAnsi="Arial" w:cs="Arial"/>
          <w:color w:val="ED7D31" w:themeColor="accent2"/>
          <w:sz w:val="24"/>
          <w:szCs w:val="24"/>
        </w:rPr>
        <w:t>Physical health</w:t>
      </w:r>
      <w:r w:rsidR="00EE438D">
        <w:rPr>
          <w:rFonts w:ascii="Arial" w:hAnsi="Arial" w:cs="Arial"/>
          <w:color w:val="ED7D31" w:themeColor="accent2"/>
          <w:sz w:val="24"/>
          <w:szCs w:val="24"/>
        </w:rPr>
        <w:t xml:space="preserve"> </w:t>
      </w:r>
    </w:p>
    <w:p w14:paraId="6EF00810" w14:textId="1207D72F" w:rsidR="002813F1" w:rsidRDefault="002813F1" w:rsidP="00791A96">
      <w:pPr>
        <w:spacing w:after="120" w:line="276" w:lineRule="auto"/>
        <w:jc w:val="both"/>
        <w:rPr>
          <w:rFonts w:ascii="Arial" w:eastAsia="Times New Roman" w:hAnsi="Arial" w:cs="Arial"/>
          <w:lang w:eastAsia="en-AU"/>
        </w:rPr>
      </w:pPr>
      <w:r w:rsidRPr="008D4D98">
        <w:rPr>
          <w:rFonts w:ascii="Arial" w:eastAsia="Times New Roman" w:hAnsi="Arial" w:cs="Arial"/>
          <w:b/>
          <w:bCs/>
          <w:lang w:eastAsia="en-AU"/>
        </w:rPr>
        <w:t xml:space="preserve">Recommendation </w:t>
      </w:r>
      <w:r w:rsidR="000C5939">
        <w:rPr>
          <w:rFonts w:ascii="Arial" w:eastAsia="Times New Roman" w:hAnsi="Arial" w:cs="Arial"/>
          <w:b/>
          <w:bCs/>
          <w:lang w:eastAsia="en-AU"/>
        </w:rPr>
        <w:t>5</w:t>
      </w:r>
      <w:r w:rsidRPr="008D4D98">
        <w:rPr>
          <w:rFonts w:ascii="Arial" w:eastAsia="Times New Roman" w:hAnsi="Arial" w:cs="Arial"/>
          <w:b/>
          <w:bCs/>
          <w:lang w:eastAsia="en-AU"/>
        </w:rPr>
        <w:t xml:space="preserve">: </w:t>
      </w:r>
      <w:r w:rsidRPr="008D4D98">
        <w:rPr>
          <w:rFonts w:ascii="Arial" w:eastAsia="Times New Roman" w:hAnsi="Arial" w:cs="Arial"/>
          <w:lang w:eastAsia="en-AU"/>
        </w:rPr>
        <w:t>Take a</w:t>
      </w:r>
      <w:r w:rsidR="008F6E24" w:rsidRPr="008D4D98">
        <w:rPr>
          <w:rFonts w:ascii="Arial" w:eastAsia="Times New Roman" w:hAnsi="Arial" w:cs="Arial"/>
          <w:lang w:eastAsia="en-AU"/>
        </w:rPr>
        <w:t>n intersectional</w:t>
      </w:r>
      <w:r w:rsidRPr="008D4D98">
        <w:rPr>
          <w:rFonts w:ascii="Arial" w:eastAsia="Times New Roman" w:hAnsi="Arial" w:cs="Arial"/>
          <w:lang w:eastAsia="en-AU"/>
        </w:rPr>
        <w:t xml:space="preserve"> gender</w:t>
      </w:r>
      <w:r w:rsidR="00F40D59" w:rsidRPr="008D4D98">
        <w:rPr>
          <w:rFonts w:ascii="Arial" w:eastAsia="Times New Roman" w:hAnsi="Arial" w:cs="Arial"/>
          <w:lang w:eastAsia="en-AU"/>
        </w:rPr>
        <w:t>-sensitive approach</w:t>
      </w:r>
      <w:r w:rsidRPr="008D4D98">
        <w:rPr>
          <w:rFonts w:ascii="Arial" w:eastAsia="Times New Roman" w:hAnsi="Arial" w:cs="Arial"/>
          <w:lang w:eastAsia="en-AU"/>
        </w:rPr>
        <w:t xml:space="preserve"> to </w:t>
      </w:r>
      <w:r w:rsidR="00B33FFD" w:rsidRPr="008D4D98">
        <w:rPr>
          <w:rFonts w:ascii="Arial" w:eastAsia="Times New Roman" w:hAnsi="Arial" w:cs="Arial"/>
          <w:lang w:eastAsia="en-AU"/>
        </w:rPr>
        <w:t>health promotion,</w:t>
      </w:r>
      <w:r w:rsidR="00F40D59" w:rsidRPr="008D4D98">
        <w:rPr>
          <w:rFonts w:ascii="Arial" w:eastAsia="Times New Roman" w:hAnsi="Arial" w:cs="Arial"/>
          <w:lang w:eastAsia="en-AU"/>
        </w:rPr>
        <w:t xml:space="preserve"> including addressing structural barriers and enablers</w:t>
      </w:r>
      <w:r w:rsidR="00B33FFD" w:rsidRPr="008D4D98">
        <w:rPr>
          <w:rFonts w:ascii="Arial" w:eastAsia="Times New Roman" w:hAnsi="Arial" w:cs="Arial"/>
          <w:lang w:eastAsia="en-AU"/>
        </w:rPr>
        <w:t xml:space="preserve"> for healthy behaviours</w:t>
      </w:r>
      <w:r w:rsidR="00287198">
        <w:rPr>
          <w:rFonts w:ascii="Arial" w:eastAsia="Times New Roman" w:hAnsi="Arial" w:cs="Arial"/>
          <w:lang w:eastAsia="en-AU"/>
        </w:rPr>
        <w:t>.</w:t>
      </w:r>
    </w:p>
    <w:p w14:paraId="69F8E97B" w14:textId="0B15F503" w:rsidR="008D4D98" w:rsidRPr="008D4D98" w:rsidRDefault="008D4D98" w:rsidP="00791A96">
      <w:pPr>
        <w:spacing w:after="120" w:line="276" w:lineRule="auto"/>
        <w:jc w:val="both"/>
        <w:rPr>
          <w:rFonts w:ascii="Arial" w:eastAsia="Times New Roman" w:hAnsi="Arial" w:cs="Arial"/>
          <w:b/>
          <w:bCs/>
          <w:lang w:eastAsia="en-AU"/>
        </w:rPr>
      </w:pPr>
      <w:r w:rsidRPr="008D4D98">
        <w:rPr>
          <w:rFonts w:ascii="Arial" w:eastAsia="Times New Roman" w:hAnsi="Arial" w:cs="Arial"/>
          <w:b/>
          <w:bCs/>
          <w:lang w:eastAsia="en-AU"/>
        </w:rPr>
        <w:t xml:space="preserve">Recommendation </w:t>
      </w:r>
      <w:r w:rsidR="000C5939">
        <w:rPr>
          <w:rFonts w:ascii="Arial" w:eastAsia="Times New Roman" w:hAnsi="Arial" w:cs="Arial"/>
          <w:b/>
          <w:bCs/>
          <w:lang w:eastAsia="en-AU"/>
        </w:rPr>
        <w:t>6</w:t>
      </w:r>
      <w:r w:rsidRPr="008D4D98">
        <w:rPr>
          <w:rFonts w:ascii="Arial" w:eastAsia="Times New Roman" w:hAnsi="Arial" w:cs="Arial"/>
          <w:b/>
          <w:bCs/>
          <w:lang w:eastAsia="en-AU"/>
        </w:rPr>
        <w:t xml:space="preserve">: </w:t>
      </w:r>
      <w:r w:rsidRPr="008D4D98">
        <w:rPr>
          <w:rFonts w:ascii="Arial" w:eastAsia="Times New Roman" w:hAnsi="Arial" w:cs="Arial"/>
          <w:lang w:eastAsia="en-AU"/>
        </w:rPr>
        <w:t xml:space="preserve">Tackle </w:t>
      </w:r>
      <w:r w:rsidR="008802A1">
        <w:rPr>
          <w:rFonts w:ascii="Arial" w:eastAsia="Times New Roman" w:hAnsi="Arial" w:cs="Arial"/>
          <w:lang w:eastAsia="en-AU"/>
        </w:rPr>
        <w:t xml:space="preserve">the </w:t>
      </w:r>
      <w:r>
        <w:rPr>
          <w:rFonts w:ascii="Arial" w:eastAsia="Times New Roman" w:hAnsi="Arial" w:cs="Arial"/>
          <w:lang w:eastAsia="en-AU"/>
        </w:rPr>
        <w:t>sexualisation of young women and promote positive body image.</w:t>
      </w:r>
    </w:p>
    <w:p w14:paraId="5B1B8637" w14:textId="1D684B40" w:rsidR="00EE438D" w:rsidRDefault="00EE438D" w:rsidP="00791A96">
      <w:pPr>
        <w:spacing w:after="120" w:line="276" w:lineRule="auto"/>
        <w:jc w:val="both"/>
        <w:rPr>
          <w:rFonts w:ascii="Arial" w:eastAsia="Times New Roman" w:hAnsi="Arial" w:cs="Arial"/>
          <w:lang w:eastAsia="en-AU"/>
        </w:rPr>
      </w:pPr>
      <w:r w:rsidRPr="0043140A">
        <w:rPr>
          <w:rFonts w:ascii="Arial" w:eastAsia="Times New Roman" w:hAnsi="Arial" w:cs="Arial"/>
          <w:b/>
          <w:bCs/>
          <w:lang w:eastAsia="en-AU"/>
        </w:rPr>
        <w:t>Recommendation</w:t>
      </w:r>
      <w:r w:rsidR="0043140A">
        <w:rPr>
          <w:rFonts w:ascii="Arial" w:eastAsia="Times New Roman" w:hAnsi="Arial" w:cs="Arial"/>
          <w:b/>
          <w:bCs/>
          <w:lang w:eastAsia="en-AU"/>
        </w:rPr>
        <w:t xml:space="preserve"> </w:t>
      </w:r>
      <w:r w:rsidR="002813F1">
        <w:rPr>
          <w:rFonts w:ascii="Arial" w:eastAsia="Times New Roman" w:hAnsi="Arial" w:cs="Arial"/>
          <w:b/>
          <w:bCs/>
          <w:lang w:eastAsia="en-AU"/>
        </w:rPr>
        <w:t>7</w:t>
      </w:r>
      <w:r w:rsidRPr="0043140A">
        <w:rPr>
          <w:rFonts w:ascii="Arial" w:eastAsia="Times New Roman" w:hAnsi="Arial" w:cs="Arial"/>
          <w:b/>
          <w:bCs/>
          <w:lang w:eastAsia="en-AU"/>
        </w:rPr>
        <w:t>:</w:t>
      </w:r>
      <w:r>
        <w:rPr>
          <w:rFonts w:ascii="Arial" w:eastAsia="Times New Roman" w:hAnsi="Arial" w:cs="Arial"/>
          <w:lang w:eastAsia="en-AU"/>
        </w:rPr>
        <w:t xml:space="preserve"> </w:t>
      </w:r>
      <w:r w:rsidRPr="00EE438D">
        <w:rPr>
          <w:rFonts w:ascii="Arial" w:eastAsia="Times New Roman" w:hAnsi="Arial" w:cs="Arial"/>
          <w:lang w:eastAsia="en-AU"/>
        </w:rPr>
        <w:t>Focus on health, not weight in all interventions that aim to improve young women’s physical health</w:t>
      </w:r>
      <w:r w:rsidR="008802A1">
        <w:rPr>
          <w:rFonts w:ascii="Arial" w:eastAsia="Times New Roman" w:hAnsi="Arial" w:cs="Arial"/>
          <w:lang w:eastAsia="en-AU"/>
        </w:rPr>
        <w:t>.</w:t>
      </w:r>
    </w:p>
    <w:p w14:paraId="021EF53B" w14:textId="77777777" w:rsidR="00626C56" w:rsidRDefault="009335BB" w:rsidP="00791A96">
      <w:pPr>
        <w:pStyle w:val="NoSpacing"/>
        <w:spacing w:after="120" w:line="276" w:lineRule="auto"/>
        <w:ind w:right="-329"/>
        <w:jc w:val="both"/>
        <w:rPr>
          <w:rFonts w:ascii="Arial" w:hAnsi="Arial" w:cs="Arial"/>
          <w:color w:val="ED7D31" w:themeColor="accent2"/>
          <w:sz w:val="24"/>
          <w:szCs w:val="24"/>
        </w:rPr>
      </w:pPr>
      <w:r w:rsidRPr="00107496">
        <w:rPr>
          <w:rFonts w:ascii="Arial" w:hAnsi="Arial" w:cs="Arial"/>
          <w:color w:val="ED7D31" w:themeColor="accent2"/>
          <w:sz w:val="24"/>
          <w:szCs w:val="24"/>
        </w:rPr>
        <w:t>Sexual and reproductive health</w:t>
      </w:r>
    </w:p>
    <w:p w14:paraId="5785E69E" w14:textId="4713C280" w:rsidR="006B08A4" w:rsidRPr="006B08A4" w:rsidRDefault="006B08A4" w:rsidP="00791A96">
      <w:pPr>
        <w:pStyle w:val="NoSpacing"/>
        <w:spacing w:after="120" w:line="276" w:lineRule="auto"/>
        <w:jc w:val="both"/>
        <w:rPr>
          <w:rFonts w:ascii="Arial" w:hAnsi="Arial" w:cs="Arial"/>
        </w:rPr>
      </w:pPr>
      <w:r w:rsidRPr="00626C56">
        <w:rPr>
          <w:rFonts w:ascii="Arial" w:hAnsi="Arial" w:cs="Arial"/>
          <w:b/>
          <w:bCs/>
        </w:rPr>
        <w:t>Recommendation</w:t>
      </w:r>
      <w:r>
        <w:rPr>
          <w:rFonts w:ascii="Arial" w:hAnsi="Arial" w:cs="Arial"/>
          <w:b/>
          <w:bCs/>
        </w:rPr>
        <w:t xml:space="preserve"> </w:t>
      </w:r>
      <w:r w:rsidR="000C5939">
        <w:rPr>
          <w:rFonts w:ascii="Arial" w:hAnsi="Arial" w:cs="Arial"/>
          <w:b/>
          <w:bCs/>
        </w:rPr>
        <w:t>8</w:t>
      </w:r>
      <w:r w:rsidRPr="00626C56">
        <w:rPr>
          <w:rFonts w:ascii="Arial" w:hAnsi="Arial" w:cs="Arial"/>
          <w:b/>
          <w:bCs/>
        </w:rPr>
        <w:t>:</w:t>
      </w:r>
      <w:r>
        <w:rPr>
          <w:rFonts w:ascii="Arial" w:hAnsi="Arial" w:cs="Arial"/>
        </w:rPr>
        <w:t xml:space="preserve"> Invest in</w:t>
      </w:r>
      <w:r w:rsidRPr="00626C56">
        <w:rPr>
          <w:rFonts w:ascii="Arial" w:hAnsi="Arial" w:cs="Arial"/>
        </w:rPr>
        <w:t xml:space="preserve"> an evidence-based approach to comprehensive whole</w:t>
      </w:r>
      <w:r>
        <w:rPr>
          <w:rFonts w:ascii="Arial" w:hAnsi="Arial" w:cs="Arial"/>
        </w:rPr>
        <w:t>-</w:t>
      </w:r>
      <w:r w:rsidRPr="00626C56">
        <w:rPr>
          <w:rFonts w:ascii="Arial" w:hAnsi="Arial" w:cs="Arial"/>
        </w:rPr>
        <w:t>of</w:t>
      </w:r>
      <w:r>
        <w:rPr>
          <w:rFonts w:ascii="Arial" w:hAnsi="Arial" w:cs="Arial"/>
        </w:rPr>
        <w:t>-</w:t>
      </w:r>
      <w:r w:rsidRPr="00626C56">
        <w:rPr>
          <w:rFonts w:ascii="Arial" w:hAnsi="Arial" w:cs="Arial"/>
        </w:rPr>
        <w:t>school sexuality and relationships education within Victoria</w:t>
      </w:r>
      <w:r>
        <w:rPr>
          <w:rFonts w:ascii="Arial" w:hAnsi="Arial" w:cs="Arial"/>
        </w:rPr>
        <w:t>n</w:t>
      </w:r>
      <w:r w:rsidRPr="00626C56">
        <w:rPr>
          <w:rFonts w:ascii="Arial" w:hAnsi="Arial" w:cs="Arial"/>
        </w:rPr>
        <w:t xml:space="preserve"> </w:t>
      </w:r>
      <w:r>
        <w:rPr>
          <w:rFonts w:ascii="Arial" w:hAnsi="Arial" w:cs="Arial"/>
        </w:rPr>
        <w:t>s</w:t>
      </w:r>
      <w:r w:rsidRPr="00626C56">
        <w:rPr>
          <w:rFonts w:ascii="Arial" w:hAnsi="Arial" w:cs="Arial"/>
        </w:rPr>
        <w:t xml:space="preserve">chools. </w:t>
      </w:r>
    </w:p>
    <w:p w14:paraId="049E1290" w14:textId="56F27493" w:rsidR="002813F1" w:rsidRDefault="002813F1" w:rsidP="00791A96">
      <w:pPr>
        <w:pStyle w:val="NoSpacing"/>
        <w:spacing w:after="120" w:line="276" w:lineRule="auto"/>
        <w:jc w:val="both"/>
        <w:rPr>
          <w:rFonts w:ascii="Arial" w:hAnsi="Arial" w:cs="Arial"/>
        </w:rPr>
      </w:pPr>
      <w:r>
        <w:rPr>
          <w:rFonts w:ascii="Arial" w:hAnsi="Arial" w:cs="Arial"/>
          <w:b/>
          <w:bCs/>
        </w:rPr>
        <w:t xml:space="preserve">Recommendation </w:t>
      </w:r>
      <w:r w:rsidR="000C5939">
        <w:rPr>
          <w:rFonts w:ascii="Arial" w:hAnsi="Arial" w:cs="Arial"/>
          <w:b/>
          <w:bCs/>
        </w:rPr>
        <w:t>9</w:t>
      </w:r>
      <w:r>
        <w:rPr>
          <w:rFonts w:ascii="Arial" w:hAnsi="Arial" w:cs="Arial"/>
          <w:b/>
          <w:bCs/>
        </w:rPr>
        <w:t>:</w:t>
      </w:r>
      <w:r>
        <w:rPr>
          <w:rFonts w:ascii="Arial" w:hAnsi="Arial" w:cs="Arial"/>
        </w:rPr>
        <w:t xml:space="preserve"> </w:t>
      </w:r>
      <w:r w:rsidRPr="00626C56">
        <w:rPr>
          <w:rFonts w:ascii="Arial" w:hAnsi="Arial" w:cs="Arial"/>
        </w:rPr>
        <w:t xml:space="preserve">Ensure </w:t>
      </w:r>
      <w:r w:rsidR="00F40D59">
        <w:rPr>
          <w:rFonts w:ascii="Arial" w:hAnsi="Arial" w:cs="Arial"/>
        </w:rPr>
        <w:t xml:space="preserve">youth-friendly </w:t>
      </w:r>
      <w:r w:rsidRPr="00626C56">
        <w:rPr>
          <w:rFonts w:ascii="Arial" w:hAnsi="Arial" w:cs="Arial"/>
        </w:rPr>
        <w:t>sexual and reproductive health services are available in all regions of Victoria</w:t>
      </w:r>
      <w:r>
        <w:rPr>
          <w:rFonts w:ascii="Arial" w:hAnsi="Arial" w:cs="Arial"/>
        </w:rPr>
        <w:t>.</w:t>
      </w:r>
    </w:p>
    <w:p w14:paraId="229E3862" w14:textId="77777777" w:rsidR="009B4C1E" w:rsidRDefault="009B4C1E" w:rsidP="00791A96">
      <w:pPr>
        <w:pStyle w:val="NoSpacing"/>
        <w:spacing w:after="120" w:line="276" w:lineRule="auto"/>
        <w:ind w:right="-329"/>
        <w:jc w:val="both"/>
        <w:rPr>
          <w:rFonts w:ascii="Arial" w:hAnsi="Arial" w:cs="Arial"/>
          <w:color w:val="ED7D31" w:themeColor="accent2"/>
          <w:sz w:val="24"/>
          <w:szCs w:val="24"/>
        </w:rPr>
      </w:pPr>
    </w:p>
    <w:p w14:paraId="4E547140" w14:textId="77777777" w:rsidR="009B4C1E" w:rsidRDefault="009B4C1E" w:rsidP="00791A96">
      <w:pPr>
        <w:pStyle w:val="NoSpacing"/>
        <w:spacing w:after="120" w:line="276" w:lineRule="auto"/>
        <w:ind w:right="-329"/>
        <w:jc w:val="both"/>
        <w:rPr>
          <w:rFonts w:ascii="Arial" w:hAnsi="Arial" w:cs="Arial"/>
          <w:color w:val="ED7D31" w:themeColor="accent2"/>
          <w:sz w:val="24"/>
          <w:szCs w:val="24"/>
        </w:rPr>
      </w:pPr>
    </w:p>
    <w:p w14:paraId="267C53F3" w14:textId="2AE5D621" w:rsidR="000C5939" w:rsidRDefault="009335BB" w:rsidP="00791A96">
      <w:pPr>
        <w:pStyle w:val="NoSpacing"/>
        <w:spacing w:after="120" w:line="276" w:lineRule="auto"/>
        <w:ind w:right="-329"/>
        <w:jc w:val="both"/>
        <w:rPr>
          <w:rFonts w:ascii="Arial" w:hAnsi="Arial" w:cs="Arial"/>
          <w:color w:val="ED7D31" w:themeColor="accent2"/>
          <w:sz w:val="24"/>
          <w:szCs w:val="24"/>
        </w:rPr>
      </w:pPr>
      <w:r w:rsidRPr="00107496">
        <w:rPr>
          <w:rFonts w:ascii="Arial" w:hAnsi="Arial" w:cs="Arial"/>
          <w:color w:val="ED7D31" w:themeColor="accent2"/>
          <w:sz w:val="24"/>
          <w:szCs w:val="24"/>
        </w:rPr>
        <w:lastRenderedPageBreak/>
        <w:t xml:space="preserve">Prevention of violence against women </w:t>
      </w:r>
    </w:p>
    <w:p w14:paraId="0AAD4D4C" w14:textId="3B9B39EE" w:rsidR="000C5939" w:rsidRPr="000C5939" w:rsidRDefault="000C5939" w:rsidP="00791A96">
      <w:pPr>
        <w:spacing w:after="120" w:line="276" w:lineRule="auto"/>
        <w:jc w:val="both"/>
        <w:rPr>
          <w:rFonts w:ascii="Arial" w:hAnsi="Arial" w:cs="Arial"/>
        </w:rPr>
      </w:pPr>
      <w:r w:rsidRPr="000C5939">
        <w:rPr>
          <w:rFonts w:ascii="Arial" w:hAnsi="Arial" w:cs="Arial"/>
          <w:b/>
          <w:bCs/>
        </w:rPr>
        <w:t xml:space="preserve">Recommendation </w:t>
      </w:r>
      <w:r>
        <w:rPr>
          <w:rFonts w:ascii="Arial" w:hAnsi="Arial" w:cs="Arial"/>
          <w:b/>
          <w:bCs/>
        </w:rPr>
        <w:t>10</w:t>
      </w:r>
      <w:r w:rsidRPr="000C5939">
        <w:rPr>
          <w:rFonts w:ascii="Arial" w:hAnsi="Arial" w:cs="Arial"/>
          <w:b/>
          <w:bCs/>
        </w:rPr>
        <w:t>:</w:t>
      </w:r>
      <w:r w:rsidRPr="000C5939">
        <w:rPr>
          <w:rFonts w:ascii="Arial" w:hAnsi="Arial" w:cs="Arial"/>
        </w:rPr>
        <w:t xml:space="preserve"> Strengthen the focus on sexual assault and harassment in initiatives to prevent and respond to violence against women</w:t>
      </w:r>
      <w:r w:rsidR="00287198">
        <w:rPr>
          <w:rFonts w:ascii="Arial" w:hAnsi="Arial" w:cs="Arial"/>
        </w:rPr>
        <w:t>.</w:t>
      </w:r>
    </w:p>
    <w:p w14:paraId="12B2FF55" w14:textId="4D0A21C6" w:rsidR="000C5939" w:rsidRPr="000C5939" w:rsidRDefault="000C5939" w:rsidP="00791A96">
      <w:pPr>
        <w:spacing w:after="120" w:line="276" w:lineRule="auto"/>
        <w:jc w:val="both"/>
        <w:rPr>
          <w:rFonts w:ascii="Arial" w:hAnsi="Arial" w:cs="Arial"/>
        </w:rPr>
      </w:pPr>
      <w:r w:rsidRPr="000C5939">
        <w:rPr>
          <w:rFonts w:ascii="Arial" w:hAnsi="Arial" w:cs="Arial"/>
          <w:b/>
          <w:bCs/>
        </w:rPr>
        <w:t xml:space="preserve">Recommendation </w:t>
      </w:r>
      <w:r>
        <w:rPr>
          <w:rFonts w:ascii="Arial" w:hAnsi="Arial" w:cs="Arial"/>
          <w:b/>
          <w:bCs/>
        </w:rPr>
        <w:t>11</w:t>
      </w:r>
      <w:r w:rsidRPr="000C5939">
        <w:rPr>
          <w:rFonts w:ascii="Arial" w:hAnsi="Arial" w:cs="Arial"/>
          <w:b/>
          <w:bCs/>
        </w:rPr>
        <w:t>:</w:t>
      </w:r>
      <w:r w:rsidRPr="000C5939">
        <w:rPr>
          <w:rFonts w:ascii="Arial" w:hAnsi="Arial" w:cs="Arial"/>
        </w:rPr>
        <w:t xml:space="preserve"> Scale up efforts to promote gender equality and prevent violence against women in the media and advertising settings</w:t>
      </w:r>
      <w:r w:rsidR="00287198">
        <w:rPr>
          <w:rFonts w:ascii="Arial" w:hAnsi="Arial" w:cs="Arial"/>
        </w:rPr>
        <w:t>.</w:t>
      </w:r>
    </w:p>
    <w:p w14:paraId="77FA2303" w14:textId="18BE7941" w:rsidR="000C5939" w:rsidRPr="000C5939" w:rsidRDefault="000C5939" w:rsidP="00791A96">
      <w:pPr>
        <w:spacing w:after="120" w:line="276" w:lineRule="auto"/>
        <w:jc w:val="both"/>
        <w:rPr>
          <w:rFonts w:ascii="Arial" w:hAnsi="Arial" w:cs="Arial"/>
        </w:rPr>
      </w:pPr>
      <w:r w:rsidRPr="000C5939">
        <w:rPr>
          <w:rFonts w:ascii="Arial" w:hAnsi="Arial" w:cs="Arial"/>
          <w:b/>
          <w:bCs/>
        </w:rPr>
        <w:t xml:space="preserve">Recommendation </w:t>
      </w:r>
      <w:r>
        <w:rPr>
          <w:rFonts w:ascii="Arial" w:hAnsi="Arial" w:cs="Arial"/>
          <w:b/>
          <w:bCs/>
        </w:rPr>
        <w:t>12</w:t>
      </w:r>
      <w:r w:rsidRPr="000C5939">
        <w:rPr>
          <w:rFonts w:ascii="Arial" w:hAnsi="Arial" w:cs="Arial"/>
          <w:b/>
          <w:bCs/>
        </w:rPr>
        <w:t>:</w:t>
      </w:r>
      <w:r w:rsidRPr="000C5939">
        <w:rPr>
          <w:rFonts w:ascii="Arial" w:hAnsi="Arial" w:cs="Arial"/>
        </w:rPr>
        <w:t xml:space="preserve"> Strengthen the focus on challenging rigid masculine gender norms in primary prevention</w:t>
      </w:r>
      <w:r w:rsidR="00287198">
        <w:rPr>
          <w:rFonts w:ascii="Arial" w:hAnsi="Arial" w:cs="Arial"/>
        </w:rPr>
        <w:t>.</w:t>
      </w:r>
      <w:r w:rsidRPr="000C5939">
        <w:rPr>
          <w:rFonts w:ascii="Arial" w:hAnsi="Arial" w:cs="Arial"/>
        </w:rPr>
        <w:t xml:space="preserve"> </w:t>
      </w:r>
    </w:p>
    <w:p w14:paraId="68D9618B" w14:textId="5E3E81A9" w:rsidR="000C5939" w:rsidRPr="000C5939" w:rsidRDefault="000C5939" w:rsidP="00791A96">
      <w:pPr>
        <w:spacing w:after="120" w:line="276" w:lineRule="auto"/>
        <w:jc w:val="both"/>
        <w:rPr>
          <w:rFonts w:ascii="Arial" w:hAnsi="Arial" w:cs="Arial"/>
        </w:rPr>
      </w:pPr>
      <w:r w:rsidRPr="000C5939">
        <w:rPr>
          <w:rFonts w:ascii="Arial" w:hAnsi="Arial" w:cs="Arial"/>
          <w:b/>
          <w:bCs/>
        </w:rPr>
        <w:t xml:space="preserve">Recommendation </w:t>
      </w:r>
      <w:r>
        <w:rPr>
          <w:rFonts w:ascii="Arial" w:hAnsi="Arial" w:cs="Arial"/>
          <w:b/>
          <w:bCs/>
        </w:rPr>
        <w:t>13</w:t>
      </w:r>
      <w:r w:rsidRPr="000C5939">
        <w:rPr>
          <w:rFonts w:ascii="Arial" w:hAnsi="Arial" w:cs="Arial"/>
          <w:b/>
          <w:bCs/>
        </w:rPr>
        <w:t>:</w:t>
      </w:r>
      <w:r w:rsidRPr="000C5939">
        <w:rPr>
          <w:rFonts w:ascii="Arial" w:hAnsi="Arial" w:cs="Arial"/>
        </w:rPr>
        <w:t xml:space="preserve"> Incorporate a focus on reproductive coercion into primary prevention and response to violence against women</w:t>
      </w:r>
      <w:r w:rsidR="00287198">
        <w:rPr>
          <w:rFonts w:ascii="Arial" w:hAnsi="Arial" w:cs="Arial"/>
        </w:rPr>
        <w:t>.</w:t>
      </w:r>
    </w:p>
    <w:p w14:paraId="27D473A8" w14:textId="05526F79" w:rsidR="000C5939" w:rsidRPr="000C5939" w:rsidRDefault="000C5939" w:rsidP="00791A96">
      <w:pPr>
        <w:spacing w:after="120" w:line="276" w:lineRule="auto"/>
        <w:jc w:val="both"/>
        <w:rPr>
          <w:rFonts w:ascii="Arial" w:hAnsi="Arial" w:cs="Arial"/>
        </w:rPr>
      </w:pPr>
      <w:r w:rsidRPr="000C5939">
        <w:rPr>
          <w:rFonts w:ascii="Arial" w:hAnsi="Arial" w:cs="Arial"/>
          <w:b/>
          <w:bCs/>
        </w:rPr>
        <w:t xml:space="preserve">Recommendation </w:t>
      </w:r>
      <w:r>
        <w:rPr>
          <w:rFonts w:ascii="Arial" w:hAnsi="Arial" w:cs="Arial"/>
          <w:b/>
          <w:bCs/>
        </w:rPr>
        <w:t>14</w:t>
      </w:r>
      <w:r w:rsidRPr="000C5939">
        <w:rPr>
          <w:rFonts w:ascii="Arial" w:hAnsi="Arial" w:cs="Arial"/>
          <w:b/>
          <w:bCs/>
        </w:rPr>
        <w:t>:</w:t>
      </w:r>
      <w:r w:rsidRPr="000C5939">
        <w:rPr>
          <w:rFonts w:ascii="Arial" w:hAnsi="Arial" w:cs="Arial"/>
        </w:rPr>
        <w:t xml:space="preserve"> Ensure a strong intersectional focus across all primary prevention initiatives, as well as continuing to roll out and scale up initiatives tailored to specific population groups</w:t>
      </w:r>
      <w:r>
        <w:rPr>
          <w:rFonts w:ascii="Arial" w:hAnsi="Arial" w:cs="Arial"/>
        </w:rPr>
        <w:t>.</w:t>
      </w:r>
    </w:p>
    <w:p w14:paraId="1C65B299" w14:textId="497E03A4" w:rsidR="000C5939" w:rsidRPr="000C5939" w:rsidRDefault="000C5939" w:rsidP="00791A96">
      <w:pPr>
        <w:spacing w:after="120" w:line="276" w:lineRule="auto"/>
        <w:jc w:val="both"/>
        <w:rPr>
          <w:rFonts w:ascii="Arial" w:hAnsi="Arial" w:cs="Arial"/>
        </w:rPr>
      </w:pPr>
      <w:r w:rsidRPr="000C5939">
        <w:rPr>
          <w:rFonts w:ascii="Arial" w:hAnsi="Arial" w:cs="Arial"/>
          <w:b/>
          <w:bCs/>
        </w:rPr>
        <w:t xml:space="preserve">Recommendation </w:t>
      </w:r>
      <w:r>
        <w:rPr>
          <w:rFonts w:ascii="Arial" w:hAnsi="Arial" w:cs="Arial"/>
          <w:b/>
          <w:bCs/>
        </w:rPr>
        <w:t>15</w:t>
      </w:r>
      <w:r w:rsidRPr="000C5939">
        <w:rPr>
          <w:rFonts w:ascii="Arial" w:hAnsi="Arial" w:cs="Arial"/>
          <w:b/>
          <w:bCs/>
        </w:rPr>
        <w:t>:</w:t>
      </w:r>
      <w:r w:rsidRPr="000C5939">
        <w:rPr>
          <w:rFonts w:ascii="Arial" w:hAnsi="Arial" w:cs="Arial"/>
        </w:rPr>
        <w:t xml:space="preserve"> Undertake further research to strengthen the evidence base for primary prevention of violence against women.</w:t>
      </w:r>
    </w:p>
    <w:p w14:paraId="76A0136B" w14:textId="77777777" w:rsidR="00B43B5C" w:rsidRDefault="00B43B5C">
      <w:pPr>
        <w:rPr>
          <w:rFonts w:ascii="Arial" w:eastAsiaTheme="majorEastAsia" w:hAnsi="Arial" w:cstheme="majorBidi"/>
          <w:b/>
          <w:color w:val="ED7D31" w:themeColor="accent2"/>
          <w:sz w:val="36"/>
          <w:szCs w:val="32"/>
        </w:rPr>
      </w:pPr>
      <w:r>
        <w:br w:type="page"/>
      </w:r>
    </w:p>
    <w:p w14:paraId="54932DA4" w14:textId="29C1583B" w:rsidR="00E90ABE" w:rsidRDefault="00B43B5C" w:rsidP="00D44B01">
      <w:pPr>
        <w:pStyle w:val="Heading1"/>
        <w:jc w:val="both"/>
      </w:pPr>
      <w:bookmarkStart w:id="5" w:name="_Toc59045876"/>
      <w:r>
        <w:lastRenderedPageBreak/>
        <w:t>M</w:t>
      </w:r>
      <w:r w:rsidR="00E90ABE" w:rsidRPr="0035225B">
        <w:t xml:space="preserve">ental </w:t>
      </w:r>
      <w:r w:rsidR="002813F1">
        <w:t>h</w:t>
      </w:r>
      <w:r w:rsidR="00E90ABE" w:rsidRPr="0035225B">
        <w:t>ealth</w:t>
      </w:r>
      <w:bookmarkEnd w:id="5"/>
      <w:r w:rsidR="00E90ABE" w:rsidRPr="0035225B">
        <w:t xml:space="preserve"> </w:t>
      </w:r>
    </w:p>
    <w:p w14:paraId="2C9DF96C" w14:textId="64E440CD" w:rsidR="00D122D3" w:rsidRPr="00D122D3" w:rsidRDefault="00D122D3" w:rsidP="00D122D3">
      <w:pPr>
        <w:keepNext/>
        <w:keepLines/>
        <w:spacing w:before="240" w:after="120"/>
        <w:jc w:val="both"/>
        <w:outlineLvl w:val="1"/>
        <w:rPr>
          <w:rFonts w:ascii="Arial" w:eastAsiaTheme="majorEastAsia" w:hAnsi="Arial" w:cstheme="majorBidi"/>
          <w:b/>
          <w:bCs/>
          <w:color w:val="1F3864" w:themeColor="accent1" w:themeShade="80"/>
          <w:sz w:val="30"/>
          <w:szCs w:val="26"/>
          <w:lang w:eastAsia="en-AU"/>
        </w:rPr>
      </w:pPr>
      <w:bookmarkStart w:id="6" w:name="_Toc57983220"/>
      <w:bookmarkStart w:id="7" w:name="_Toc59045877"/>
      <w:r w:rsidRPr="00D122D3">
        <w:rPr>
          <w:rFonts w:ascii="Arial" w:eastAsiaTheme="majorEastAsia" w:hAnsi="Arial" w:cstheme="majorBidi"/>
          <w:b/>
          <w:bCs/>
          <w:color w:val="1F3864" w:themeColor="accent1" w:themeShade="80"/>
          <w:sz w:val="30"/>
          <w:szCs w:val="26"/>
          <w:lang w:eastAsia="en-AU"/>
        </w:rPr>
        <w:t>Overview</w:t>
      </w:r>
      <w:bookmarkEnd w:id="6"/>
      <w:bookmarkEnd w:id="7"/>
    </w:p>
    <w:p w14:paraId="43767408" w14:textId="77777777" w:rsidR="00D122D3" w:rsidRPr="00D122D3" w:rsidRDefault="00D122D3" w:rsidP="00D122D3">
      <w:pPr>
        <w:spacing w:after="120" w:line="22" w:lineRule="atLeast"/>
        <w:ind w:right="-329"/>
        <w:jc w:val="both"/>
        <w:rPr>
          <w:rFonts w:ascii="Arial" w:eastAsiaTheme="minorEastAsia" w:hAnsi="Arial" w:cs="Arial"/>
          <w:color w:val="ED7D31" w:themeColor="accent2"/>
          <w:sz w:val="24"/>
          <w:szCs w:val="24"/>
        </w:rPr>
      </w:pPr>
      <w:r w:rsidRPr="00D122D3">
        <w:rPr>
          <w:rFonts w:ascii="Arial" w:eastAsiaTheme="minorEastAsia" w:hAnsi="Arial" w:cs="Arial"/>
          <w:color w:val="ED7D31" w:themeColor="accent2"/>
          <w:sz w:val="24"/>
          <w:szCs w:val="24"/>
        </w:rPr>
        <w:t>Gender differences in young people’s mental health</w:t>
      </w:r>
    </w:p>
    <w:p w14:paraId="324E41E8" w14:textId="50DD2351" w:rsidR="00D122D3" w:rsidRPr="00D122D3" w:rsidRDefault="00D122D3" w:rsidP="00791A96">
      <w:pPr>
        <w:spacing w:after="120" w:line="276" w:lineRule="auto"/>
        <w:jc w:val="both"/>
        <w:rPr>
          <w:rFonts w:ascii="Arial" w:eastAsiaTheme="minorEastAsia" w:hAnsi="Arial" w:cs="Arial"/>
        </w:rPr>
      </w:pPr>
      <w:r w:rsidRPr="00D122D3">
        <w:rPr>
          <w:rFonts w:ascii="Arial" w:eastAsiaTheme="minorEastAsia" w:hAnsi="Arial" w:cs="Arial"/>
        </w:rPr>
        <w:t xml:space="preserve">The Victorian Youth Strategy needs to prioritise young women’s mental health, recognising the high and increasing rates of poor mental health among young women and girls. While girls and boys experience comparable levels of mental health and self-confidence before puberty, young women’s mental health outcomes </w:t>
      </w:r>
      <w:r w:rsidR="00C57B43">
        <w:rPr>
          <w:rFonts w:ascii="Arial" w:eastAsiaTheme="minorEastAsia" w:hAnsi="Arial" w:cs="Arial"/>
        </w:rPr>
        <w:t xml:space="preserve">decline </w:t>
      </w:r>
      <w:r w:rsidRPr="00D122D3">
        <w:rPr>
          <w:rFonts w:ascii="Arial" w:eastAsiaTheme="minorEastAsia" w:hAnsi="Arial" w:cs="Arial"/>
        </w:rPr>
        <w:t>during adolescence</w:t>
      </w:r>
      <w:r w:rsidR="00C57B43">
        <w:rPr>
          <w:rFonts w:ascii="Arial" w:eastAsiaTheme="minorEastAsia" w:hAnsi="Arial" w:cs="Arial"/>
        </w:rPr>
        <w:t xml:space="preserve">, </w:t>
      </w:r>
      <w:r w:rsidRPr="00D122D3">
        <w:rPr>
          <w:rFonts w:ascii="Arial" w:eastAsiaTheme="minorEastAsia" w:hAnsi="Arial" w:cs="Arial"/>
        </w:rPr>
        <w:t xml:space="preserve">compared with young </w:t>
      </w:r>
      <w:proofErr w:type="gramStart"/>
      <w:r w:rsidRPr="00D122D3">
        <w:rPr>
          <w:rFonts w:ascii="Arial" w:eastAsiaTheme="minorEastAsia" w:hAnsi="Arial" w:cs="Arial"/>
        </w:rPr>
        <w:t>men’s</w:t>
      </w:r>
      <w:proofErr w:type="gramEnd"/>
      <w:r w:rsidRPr="00D122D3">
        <w:rPr>
          <w:rFonts w:ascii="Arial" w:eastAsiaTheme="minorEastAsia" w:hAnsi="Arial" w:cs="Arial"/>
        </w:rPr>
        <w:t>.</w:t>
      </w:r>
      <w:r w:rsidRPr="00D122D3">
        <w:rPr>
          <w:rFonts w:ascii="Arial" w:eastAsiaTheme="minorEastAsia" w:hAnsi="Arial" w:cs="Arial"/>
          <w:vertAlign w:val="superscript"/>
        </w:rPr>
        <w:footnoteReference w:id="10"/>
      </w:r>
      <w:r w:rsidRPr="00D122D3">
        <w:rPr>
          <w:rFonts w:ascii="Arial" w:eastAsiaTheme="minorEastAsia" w:hAnsi="Arial" w:cs="Arial"/>
        </w:rPr>
        <w:t xml:space="preserve"> </w:t>
      </w:r>
    </w:p>
    <w:p w14:paraId="7F432370" w14:textId="77777777" w:rsidR="00D122D3" w:rsidRPr="00D122D3" w:rsidRDefault="00D122D3" w:rsidP="00791A96">
      <w:pPr>
        <w:spacing w:after="120" w:line="276" w:lineRule="auto"/>
        <w:jc w:val="both"/>
        <w:rPr>
          <w:rFonts w:ascii="Arial" w:eastAsiaTheme="minorEastAsia" w:hAnsi="Arial" w:cs="Arial"/>
        </w:rPr>
      </w:pPr>
      <w:r w:rsidRPr="00D122D3">
        <w:rPr>
          <w:rFonts w:ascii="Arial" w:eastAsiaTheme="minorEastAsia" w:hAnsi="Arial" w:cs="Arial"/>
        </w:rPr>
        <w:t>Young women aged 16 to 24 report the highest rates of mental disorder of any population group (30%),</w:t>
      </w:r>
      <w:r w:rsidRPr="00D122D3">
        <w:rPr>
          <w:rFonts w:ascii="Arial" w:eastAsiaTheme="minorEastAsia" w:hAnsi="Arial" w:cs="Arial"/>
          <w:vertAlign w:val="superscript"/>
        </w:rPr>
        <w:footnoteReference w:id="11"/>
      </w:r>
      <w:r w:rsidRPr="00D122D3">
        <w:rPr>
          <w:rFonts w:ascii="Arial" w:eastAsiaTheme="minorEastAsia" w:hAnsi="Arial" w:cs="Arial"/>
        </w:rPr>
        <w:t xml:space="preserve"> experience higher rates of depression and anxiety than young men, and are presenting to mental health services with self-harm and suicidal behaviours at increasing rates.  </w:t>
      </w:r>
    </w:p>
    <w:p w14:paraId="4DB38ECD" w14:textId="391396E6" w:rsidR="00D122D3" w:rsidRPr="00D122D3" w:rsidRDefault="00D122D3" w:rsidP="00791A96">
      <w:pPr>
        <w:spacing w:after="120" w:line="276" w:lineRule="auto"/>
        <w:jc w:val="both"/>
        <w:rPr>
          <w:rFonts w:ascii="Arial" w:hAnsi="Arial" w:cs="Arial"/>
        </w:rPr>
      </w:pPr>
      <w:r w:rsidRPr="00D122D3">
        <w:rPr>
          <w:rFonts w:ascii="Arial" w:hAnsi="Arial" w:cs="Arial"/>
        </w:rPr>
        <w:t xml:space="preserve">Mission Australia’s 2020 survey of over 25,000 young people found 30% of young women were experiencing psychological distress in 2018 – up from 22.5% of young women in 2012, and nearly double the level of psychological distress </w:t>
      </w:r>
      <w:r w:rsidR="00791A96">
        <w:rPr>
          <w:rFonts w:ascii="Arial" w:hAnsi="Arial" w:cs="Arial"/>
        </w:rPr>
        <w:t>experienced by</w:t>
      </w:r>
      <w:r w:rsidRPr="00D122D3">
        <w:rPr>
          <w:rFonts w:ascii="Arial" w:hAnsi="Arial" w:cs="Arial"/>
        </w:rPr>
        <w:t xml:space="preserve"> young men (15.8%).</w:t>
      </w:r>
      <w:r w:rsidRPr="00D122D3">
        <w:rPr>
          <w:rFonts w:ascii="Arial" w:hAnsi="Arial" w:cs="Arial"/>
          <w:vertAlign w:val="superscript"/>
        </w:rPr>
        <w:footnoteReference w:id="12"/>
      </w:r>
      <w:r w:rsidRPr="00D122D3">
        <w:rPr>
          <w:rFonts w:ascii="Arial" w:hAnsi="Arial" w:cs="Arial"/>
        </w:rPr>
        <w:t xml:space="preserve"> </w:t>
      </w:r>
    </w:p>
    <w:p w14:paraId="7C7A25E9" w14:textId="3F90B804" w:rsidR="00D122D3" w:rsidRPr="00D122D3" w:rsidRDefault="00D122D3" w:rsidP="00791A96">
      <w:pPr>
        <w:spacing w:after="120" w:line="276" w:lineRule="auto"/>
        <w:jc w:val="both"/>
        <w:rPr>
          <w:rFonts w:ascii="Arial" w:hAnsi="Arial" w:cs="Arial"/>
        </w:rPr>
      </w:pPr>
      <w:r w:rsidRPr="00D122D3">
        <w:rPr>
          <w:rFonts w:ascii="Arial" w:hAnsi="Arial" w:cs="Arial"/>
        </w:rPr>
        <w:t xml:space="preserve">This survey showed that young people’s top three concerns are coping with stress, mental health and body image. </w:t>
      </w:r>
      <w:r w:rsidR="00DF43A5">
        <w:rPr>
          <w:rFonts w:ascii="Arial" w:hAnsi="Arial" w:cs="Arial"/>
        </w:rPr>
        <w:t>Compared with young men, y</w:t>
      </w:r>
      <w:r w:rsidRPr="00D122D3">
        <w:rPr>
          <w:rFonts w:ascii="Arial" w:hAnsi="Arial" w:cs="Arial"/>
        </w:rPr>
        <w:t xml:space="preserve">oung women were: </w:t>
      </w:r>
    </w:p>
    <w:p w14:paraId="750D5ADF" w14:textId="5D45714F" w:rsidR="00D122D3" w:rsidRPr="00D122D3" w:rsidRDefault="00D122D3" w:rsidP="00791A96">
      <w:pPr>
        <w:numPr>
          <w:ilvl w:val="0"/>
          <w:numId w:val="16"/>
        </w:numPr>
        <w:spacing w:after="120" w:line="276" w:lineRule="auto"/>
        <w:jc w:val="both"/>
        <w:rPr>
          <w:rFonts w:ascii="Arial" w:hAnsi="Arial" w:cs="Arial"/>
        </w:rPr>
      </w:pPr>
      <w:r w:rsidRPr="00D122D3">
        <w:rPr>
          <w:rFonts w:ascii="Arial" w:hAnsi="Arial" w:cs="Arial"/>
        </w:rPr>
        <w:t xml:space="preserve">more than twice as likely to be extremely or very concerned about coping with stress (55.5% compared with 24.8%) </w:t>
      </w:r>
    </w:p>
    <w:p w14:paraId="1C640756" w14:textId="772EE649" w:rsidR="00D122D3" w:rsidRPr="00D122D3" w:rsidRDefault="00D122D3" w:rsidP="00791A96">
      <w:pPr>
        <w:numPr>
          <w:ilvl w:val="0"/>
          <w:numId w:val="16"/>
        </w:numPr>
        <w:spacing w:after="120" w:line="276" w:lineRule="auto"/>
        <w:jc w:val="both"/>
        <w:rPr>
          <w:rFonts w:ascii="Arial" w:hAnsi="Arial" w:cs="Arial"/>
        </w:rPr>
      </w:pPr>
      <w:r w:rsidRPr="00D122D3">
        <w:rPr>
          <w:rFonts w:ascii="Arial" w:hAnsi="Arial" w:cs="Arial"/>
        </w:rPr>
        <w:t xml:space="preserve">nearly three times as likely to be concerned about body image (45.9% compared with 15.7%) </w:t>
      </w:r>
    </w:p>
    <w:p w14:paraId="447A3E7E" w14:textId="4C18C807" w:rsidR="00D122D3" w:rsidRPr="00D122D3" w:rsidRDefault="00D122D3" w:rsidP="00791A96">
      <w:pPr>
        <w:numPr>
          <w:ilvl w:val="0"/>
          <w:numId w:val="16"/>
        </w:numPr>
        <w:spacing w:after="120" w:line="276" w:lineRule="auto"/>
        <w:jc w:val="both"/>
        <w:rPr>
          <w:rFonts w:ascii="Arial" w:hAnsi="Arial" w:cs="Arial"/>
        </w:rPr>
      </w:pPr>
      <w:r w:rsidRPr="00D122D3">
        <w:rPr>
          <w:rFonts w:ascii="Arial" w:hAnsi="Arial" w:cs="Arial"/>
        </w:rPr>
        <w:t xml:space="preserve">more than twice as likely to be concerned about mental health (43.4% compared with 20.7%) and </w:t>
      </w:r>
    </w:p>
    <w:p w14:paraId="20BC2FDB" w14:textId="77777777" w:rsidR="00D122D3" w:rsidRPr="00D122D3" w:rsidRDefault="00D122D3" w:rsidP="00791A96">
      <w:pPr>
        <w:numPr>
          <w:ilvl w:val="0"/>
          <w:numId w:val="16"/>
        </w:numPr>
        <w:spacing w:after="120" w:line="276" w:lineRule="auto"/>
        <w:jc w:val="both"/>
        <w:rPr>
          <w:rFonts w:ascii="Arial" w:hAnsi="Arial" w:cs="Arial"/>
        </w:rPr>
      </w:pPr>
      <w:r w:rsidRPr="00D122D3">
        <w:rPr>
          <w:rFonts w:ascii="Arial" w:hAnsi="Arial" w:cs="Arial"/>
        </w:rPr>
        <w:t>nearly twice as likely to be concerned about school or study problems (40.5% compared with 21.4%).</w:t>
      </w:r>
      <w:r w:rsidRPr="00D122D3">
        <w:rPr>
          <w:vertAlign w:val="superscript"/>
        </w:rPr>
        <w:footnoteReference w:id="13"/>
      </w:r>
      <w:r w:rsidRPr="00D122D3">
        <w:rPr>
          <w:rFonts w:ascii="Arial" w:hAnsi="Arial" w:cs="Arial"/>
        </w:rPr>
        <w:t xml:space="preserve">  </w:t>
      </w:r>
    </w:p>
    <w:p w14:paraId="6E84B45B" w14:textId="1694DA12" w:rsidR="00D122D3" w:rsidRPr="00D122D3" w:rsidRDefault="00D122D3" w:rsidP="00791A96">
      <w:pPr>
        <w:spacing w:after="120" w:line="276" w:lineRule="auto"/>
        <w:jc w:val="both"/>
        <w:rPr>
          <w:rFonts w:ascii="Arial" w:hAnsi="Arial" w:cs="Arial"/>
        </w:rPr>
      </w:pPr>
      <w:r w:rsidRPr="00D122D3">
        <w:rPr>
          <w:rFonts w:ascii="Arial" w:hAnsi="Arial" w:cs="Arial"/>
        </w:rPr>
        <w:t>Sex and gender-based inequalities intersect with other forms of inequality to influence the mental health of different groups of young women. Young women with disabilities are subjected to dual discrimination and stereotyping on the basis of gender and disability, adversely affecting self-esteem and expectations.</w:t>
      </w:r>
      <w:r w:rsidRPr="00D122D3">
        <w:rPr>
          <w:rFonts w:ascii="Arial" w:hAnsi="Arial" w:cs="Arial"/>
          <w:vertAlign w:val="superscript"/>
        </w:rPr>
        <w:footnoteReference w:id="14"/>
      </w:r>
      <w:r w:rsidRPr="00D122D3">
        <w:rPr>
          <w:rFonts w:ascii="Arial" w:hAnsi="Arial" w:cs="Arial"/>
        </w:rPr>
        <w:t xml:space="preserve"> For young Aboriginal and Torres Strait </w:t>
      </w:r>
      <w:r w:rsidRPr="00D122D3">
        <w:rPr>
          <w:rFonts w:ascii="Arial" w:hAnsi="Arial" w:cs="Arial"/>
        </w:rPr>
        <w:lastRenderedPageBreak/>
        <w:t>Islander women, the compounding effects of a history of colonisation and dispossession, intergenerational trauma, removal from family and community, racism and discrimination have a detrimental effect on mental health.</w:t>
      </w:r>
      <w:r w:rsidRPr="00D122D3">
        <w:rPr>
          <w:rFonts w:ascii="Arial" w:hAnsi="Arial" w:cs="Arial"/>
          <w:vertAlign w:val="superscript"/>
        </w:rPr>
        <w:footnoteReference w:id="15"/>
      </w:r>
      <w:r w:rsidRPr="00D122D3">
        <w:rPr>
          <w:rFonts w:ascii="Arial" w:hAnsi="Arial" w:cs="Arial"/>
        </w:rPr>
        <w:t xml:space="preserve"> </w:t>
      </w:r>
      <w:r w:rsidR="009F1638">
        <w:rPr>
          <w:rFonts w:ascii="Arial" w:hAnsi="Arial" w:cs="Arial"/>
        </w:rPr>
        <w:t>Mission Australia’s 2020 Youth Survey also found y</w:t>
      </w:r>
      <w:r w:rsidRPr="00D122D3">
        <w:rPr>
          <w:rFonts w:ascii="Arial" w:hAnsi="Arial" w:cs="Arial"/>
        </w:rPr>
        <w:t>oung Aboriginal women were less likely to be happy/very happy than non-Indigenous women (45.4% compared with 54.4</w:t>
      </w:r>
      <w:r w:rsidRPr="00966FD1">
        <w:rPr>
          <w:rFonts w:ascii="Arial" w:hAnsi="Arial" w:cs="Arial"/>
        </w:rPr>
        <w:t>%).</w:t>
      </w:r>
      <w:r w:rsidRPr="00966FD1">
        <w:rPr>
          <w:rFonts w:ascii="Arial" w:hAnsi="Arial" w:cs="Arial"/>
          <w:vertAlign w:val="superscript"/>
        </w:rPr>
        <w:footnoteReference w:id="16"/>
      </w:r>
      <w:r w:rsidRPr="00966FD1">
        <w:rPr>
          <w:rFonts w:ascii="Arial" w:hAnsi="Arial" w:cs="Arial"/>
        </w:rPr>
        <w:t xml:space="preserve"> </w:t>
      </w:r>
      <w:r w:rsidR="009F1638">
        <w:rPr>
          <w:rFonts w:ascii="Arial" w:hAnsi="Arial" w:cs="Arial"/>
        </w:rPr>
        <w:t>Young m</w:t>
      </w:r>
      <w:r w:rsidRPr="00966FD1">
        <w:rPr>
          <w:rFonts w:ascii="Arial" w:hAnsi="Arial" w:cs="Arial"/>
        </w:rPr>
        <w:t>igrant and refugee women experience structural, institutional and interpersonal forms of disadvantage that significantly impact their ability to experience good mental health, including racism, settlement stress and trauma, gender inequality and gender-based violence.</w:t>
      </w:r>
      <w:r w:rsidRPr="00966FD1">
        <w:rPr>
          <w:rFonts w:ascii="Arial" w:hAnsi="Arial" w:cs="Arial"/>
          <w:vertAlign w:val="superscript"/>
        </w:rPr>
        <w:footnoteReference w:id="17"/>
      </w:r>
    </w:p>
    <w:p w14:paraId="7407F20E" w14:textId="77777777" w:rsidR="00D122D3" w:rsidRPr="00D122D3" w:rsidRDefault="00D122D3" w:rsidP="000239E1">
      <w:pPr>
        <w:shd w:val="clear" w:color="auto" w:fill="B9FAFF"/>
        <w:spacing w:after="120" w:line="276" w:lineRule="auto"/>
        <w:jc w:val="both"/>
        <w:rPr>
          <w:rFonts w:ascii="Arial" w:hAnsi="Arial" w:cs="Arial"/>
          <w:b/>
        </w:rPr>
      </w:pPr>
      <w:r w:rsidRPr="00D122D3">
        <w:rPr>
          <w:rFonts w:ascii="Arial" w:hAnsi="Arial" w:cs="Arial"/>
          <w:b/>
        </w:rPr>
        <w:t>How has COVID-19 impacted young women’s mental health?</w:t>
      </w:r>
    </w:p>
    <w:p w14:paraId="6FDDEB9C" w14:textId="73B05EFA" w:rsidR="00D122D3" w:rsidRPr="00D122D3" w:rsidRDefault="00D122D3" w:rsidP="000239E1">
      <w:pPr>
        <w:shd w:val="clear" w:color="auto" w:fill="B9FAFF"/>
        <w:spacing w:after="120" w:line="276" w:lineRule="auto"/>
        <w:jc w:val="both"/>
        <w:rPr>
          <w:rFonts w:ascii="Arial" w:hAnsi="Arial" w:cs="Arial"/>
        </w:rPr>
      </w:pPr>
      <w:r w:rsidRPr="00D122D3">
        <w:rPr>
          <w:rFonts w:ascii="Arial" w:hAnsi="Arial" w:cs="Arial"/>
          <w:bCs/>
        </w:rPr>
        <w:t xml:space="preserve">Young women have been disproportionately impacted by COVID-19. </w:t>
      </w:r>
      <w:r w:rsidRPr="00D122D3">
        <w:rPr>
          <w:rFonts w:ascii="Arial" w:hAnsi="Arial" w:cs="Arial"/>
        </w:rPr>
        <w:t>Survey data show young women reported higher levels of mental distress than young men (24% compared to 21%).</w:t>
      </w:r>
      <w:r w:rsidRPr="00D122D3">
        <w:rPr>
          <w:rFonts w:ascii="Arial" w:hAnsi="Arial" w:cs="Arial"/>
          <w:vertAlign w:val="superscript"/>
        </w:rPr>
        <w:footnoteReference w:id="18"/>
      </w:r>
      <w:r w:rsidRPr="00D122D3">
        <w:rPr>
          <w:rFonts w:ascii="Arial" w:hAnsi="Arial" w:cs="Arial"/>
        </w:rPr>
        <w:t xml:space="preserve"> </w:t>
      </w:r>
    </w:p>
    <w:p w14:paraId="2FA4A87F" w14:textId="250416EA" w:rsidR="00D122D3" w:rsidRPr="00D122D3" w:rsidRDefault="00D122D3" w:rsidP="000239E1">
      <w:pPr>
        <w:shd w:val="clear" w:color="auto" w:fill="B9FAFF"/>
        <w:spacing w:after="120" w:line="276" w:lineRule="auto"/>
        <w:jc w:val="both"/>
        <w:rPr>
          <w:rFonts w:ascii="Arial" w:hAnsi="Arial" w:cs="Arial"/>
        </w:rPr>
      </w:pPr>
      <w:r w:rsidRPr="00D122D3">
        <w:rPr>
          <w:rFonts w:ascii="Arial" w:hAnsi="Arial" w:cs="Arial"/>
        </w:rPr>
        <w:t>Concerningly, there was a 33% increase in presentations at hospital for self-harm among children and young people in Victoria in the six weeks to August 2020, compared to the previous year.</w:t>
      </w:r>
      <w:r w:rsidRPr="00D122D3">
        <w:rPr>
          <w:rFonts w:ascii="Arial" w:hAnsi="Arial" w:cs="Arial"/>
          <w:vertAlign w:val="superscript"/>
        </w:rPr>
        <w:footnoteReference w:id="19"/>
      </w:r>
      <w:r w:rsidRPr="00D122D3">
        <w:rPr>
          <w:rFonts w:ascii="Arial" w:hAnsi="Arial" w:cs="Arial"/>
        </w:rPr>
        <w:t xml:space="preserve"> Though sex-disaggregated data is not publicly available, we know that </w:t>
      </w:r>
      <w:r w:rsidR="001F5DA3">
        <w:rPr>
          <w:rFonts w:ascii="Arial" w:hAnsi="Arial" w:cs="Arial"/>
        </w:rPr>
        <w:t>females</w:t>
      </w:r>
      <w:r w:rsidR="001F5DA3" w:rsidRPr="00D122D3">
        <w:rPr>
          <w:rFonts w:ascii="Arial" w:hAnsi="Arial" w:cs="Arial"/>
        </w:rPr>
        <w:t xml:space="preserve"> </w:t>
      </w:r>
      <w:r w:rsidRPr="00D122D3">
        <w:rPr>
          <w:rFonts w:ascii="Arial" w:hAnsi="Arial" w:cs="Arial"/>
        </w:rPr>
        <w:t xml:space="preserve">are over-represented in hospital </w:t>
      </w:r>
      <w:r w:rsidR="001F5DA3">
        <w:rPr>
          <w:rFonts w:ascii="Arial" w:hAnsi="Arial" w:cs="Arial"/>
        </w:rPr>
        <w:t>admissions</w:t>
      </w:r>
      <w:r w:rsidR="001F5DA3" w:rsidRPr="00D122D3">
        <w:rPr>
          <w:rFonts w:ascii="Arial" w:hAnsi="Arial" w:cs="Arial"/>
        </w:rPr>
        <w:t xml:space="preserve"> </w:t>
      </w:r>
      <w:r w:rsidRPr="00D122D3">
        <w:rPr>
          <w:rFonts w:ascii="Arial" w:hAnsi="Arial" w:cs="Arial"/>
        </w:rPr>
        <w:t>for self-harm overall.</w:t>
      </w:r>
      <w:r w:rsidRPr="00D122D3">
        <w:rPr>
          <w:rFonts w:ascii="Arial" w:hAnsi="Arial" w:cs="Arial"/>
          <w:vertAlign w:val="superscript"/>
        </w:rPr>
        <w:footnoteReference w:id="20"/>
      </w:r>
      <w:r w:rsidRPr="00D122D3">
        <w:rPr>
          <w:rFonts w:ascii="Arial" w:hAnsi="Arial" w:cs="Arial"/>
        </w:rPr>
        <w:t xml:space="preserve"> </w:t>
      </w:r>
    </w:p>
    <w:p w14:paraId="42D30132" w14:textId="723D4D45" w:rsidR="00EC2086" w:rsidRDefault="00D122D3" w:rsidP="000239E1">
      <w:pPr>
        <w:shd w:val="clear" w:color="auto" w:fill="B9FAFF"/>
        <w:spacing w:after="120" w:line="276" w:lineRule="auto"/>
        <w:jc w:val="both"/>
        <w:rPr>
          <w:rFonts w:ascii="Arial" w:hAnsi="Arial" w:cs="Arial"/>
        </w:rPr>
      </w:pPr>
      <w:r w:rsidRPr="00D122D3">
        <w:rPr>
          <w:rFonts w:ascii="Arial" w:hAnsi="Arial" w:cs="Arial"/>
        </w:rPr>
        <w:t>In Victoria, a survey of 2000 people found women aged 18-24 were 2.5 times more likely to have lost their job during the first lockdown, compared to their male counterparts.</w:t>
      </w:r>
      <w:r w:rsidRPr="00D122D3">
        <w:rPr>
          <w:rFonts w:ascii="Arial" w:hAnsi="Arial" w:cs="Arial"/>
          <w:vertAlign w:val="superscript"/>
        </w:rPr>
        <w:footnoteReference w:id="21"/>
      </w:r>
      <w:r w:rsidRPr="00D122D3">
        <w:rPr>
          <w:rFonts w:ascii="Arial" w:hAnsi="Arial" w:cs="Arial"/>
        </w:rPr>
        <w:t xml:space="preserve"> A national survey showed that the employment rate of young women had dropped 7% below that of young men in April and had not caught up by September.</w:t>
      </w:r>
      <w:r w:rsidRPr="00D122D3">
        <w:rPr>
          <w:rFonts w:ascii="Arial" w:hAnsi="Arial" w:cs="Arial"/>
          <w:vertAlign w:val="superscript"/>
        </w:rPr>
        <w:footnoteReference w:id="22"/>
      </w:r>
      <w:r w:rsidRPr="00D122D3">
        <w:rPr>
          <w:rFonts w:ascii="Arial" w:hAnsi="Arial" w:cs="Arial"/>
        </w:rPr>
        <w:t xml:space="preserve"> </w:t>
      </w:r>
    </w:p>
    <w:p w14:paraId="34CA440E" w14:textId="066F95D0" w:rsidR="00B3212C" w:rsidRPr="009F1638" w:rsidRDefault="00B3212C" w:rsidP="000239E1">
      <w:pPr>
        <w:shd w:val="clear" w:color="auto" w:fill="B9FAFF"/>
        <w:spacing w:after="120" w:line="276" w:lineRule="auto"/>
        <w:jc w:val="both"/>
        <w:rPr>
          <w:rFonts w:ascii="Arial" w:hAnsi="Arial" w:cs="Arial"/>
        </w:rPr>
      </w:pPr>
      <w:r w:rsidRPr="00D122D3">
        <w:rPr>
          <w:rFonts w:ascii="Arial" w:hAnsi="Arial" w:cs="Arial"/>
        </w:rPr>
        <w:t>These effects have been attributed to gendered differences in paid and unpaid labour, namely young women’s greater representation in the industries directly affected by COVID-19 and increased caring responsibilities during the pandemic.</w:t>
      </w:r>
      <w:r w:rsidRPr="00B3212C">
        <w:rPr>
          <w:rFonts w:ascii="Arial" w:hAnsi="Arial" w:cs="Arial"/>
          <w:vertAlign w:val="superscript"/>
        </w:rPr>
        <w:footnoteReference w:id="23"/>
      </w:r>
    </w:p>
    <w:p w14:paraId="022965BD" w14:textId="76269FF2" w:rsidR="00D122D3" w:rsidRPr="00D122D3" w:rsidRDefault="00D122D3" w:rsidP="009F1638">
      <w:pPr>
        <w:spacing w:before="240" w:after="120" w:line="276" w:lineRule="auto"/>
        <w:ind w:left="-284" w:right="-329" w:firstLine="284"/>
        <w:jc w:val="both"/>
        <w:rPr>
          <w:rFonts w:ascii="Arial" w:eastAsiaTheme="minorEastAsia" w:hAnsi="Arial" w:cs="Arial"/>
          <w:color w:val="ED7D31" w:themeColor="accent2"/>
          <w:sz w:val="24"/>
          <w:szCs w:val="24"/>
        </w:rPr>
      </w:pPr>
      <w:r w:rsidRPr="00D122D3">
        <w:rPr>
          <w:rFonts w:ascii="Arial" w:eastAsiaTheme="minorEastAsia" w:hAnsi="Arial" w:cs="Arial"/>
          <w:color w:val="ED7D31" w:themeColor="accent2"/>
          <w:sz w:val="24"/>
          <w:szCs w:val="24"/>
        </w:rPr>
        <w:t>Why do young women experience poorer mental health than young men?</w:t>
      </w:r>
    </w:p>
    <w:p w14:paraId="0930A59B" w14:textId="67AF458A" w:rsidR="00D122D3" w:rsidRPr="00D122D3" w:rsidRDefault="00D122D3" w:rsidP="00791A96">
      <w:pPr>
        <w:spacing w:after="120" w:line="276" w:lineRule="auto"/>
        <w:jc w:val="both"/>
        <w:rPr>
          <w:rFonts w:ascii="Arial" w:hAnsi="Arial" w:cs="Arial"/>
          <w:color w:val="000000"/>
          <w:lang w:eastAsia="en-AU"/>
        </w:rPr>
      </w:pPr>
      <w:r w:rsidRPr="00D122D3">
        <w:rPr>
          <w:rFonts w:ascii="Arial" w:hAnsi="Arial" w:cs="Arial"/>
        </w:rPr>
        <w:t xml:space="preserve">Gender is recognised as a social determinant of mental health. Evidence indicates that discrepancies in mental health between young women and men are driven by sex- and gender-based expectations and experiences, and that the decline in young women’s mental </w:t>
      </w:r>
      <w:r w:rsidRPr="00D122D3">
        <w:rPr>
          <w:rFonts w:ascii="Arial" w:hAnsi="Arial" w:cs="Arial"/>
        </w:rPr>
        <w:lastRenderedPageBreak/>
        <w:t>health during adolescence is linked to social factors rather than poor health care.</w:t>
      </w:r>
      <w:r w:rsidRPr="00D122D3">
        <w:rPr>
          <w:rFonts w:ascii="Arial" w:hAnsi="Arial" w:cs="Arial"/>
          <w:vertAlign w:val="superscript"/>
        </w:rPr>
        <w:footnoteReference w:id="24"/>
      </w:r>
      <w:r w:rsidRPr="00D122D3">
        <w:rPr>
          <w:rFonts w:ascii="Arial" w:hAnsi="Arial" w:cs="Arial"/>
        </w:rPr>
        <w:t xml:space="preserve"> Indeed, </w:t>
      </w:r>
      <w:r w:rsidRPr="00D122D3">
        <w:rPr>
          <w:rFonts w:ascii="Arial" w:hAnsi="Arial" w:cs="Arial"/>
          <w:color w:val="000000"/>
          <w:lang w:eastAsia="en-AU"/>
        </w:rPr>
        <w:t xml:space="preserve">Mission Australia’s 2020 </w:t>
      </w:r>
      <w:r w:rsidR="009F1638">
        <w:rPr>
          <w:rFonts w:ascii="Arial" w:hAnsi="Arial" w:cs="Arial"/>
          <w:color w:val="000000"/>
          <w:lang w:eastAsia="en-AU"/>
        </w:rPr>
        <w:t xml:space="preserve">Youth </w:t>
      </w:r>
      <w:r w:rsidRPr="00D122D3">
        <w:rPr>
          <w:rFonts w:ascii="Arial" w:hAnsi="Arial" w:cs="Arial"/>
          <w:color w:val="000000"/>
          <w:lang w:eastAsia="en-AU"/>
        </w:rPr>
        <w:t>Survey found that ‘equity and discrimination’ was the top reported national issue for young people. Nearly half the young women surveyed reported being treated unfairly due to their gender</w:t>
      </w:r>
      <w:r w:rsidR="009F1638">
        <w:rPr>
          <w:rFonts w:ascii="Arial" w:hAnsi="Arial" w:cs="Arial"/>
          <w:color w:val="000000"/>
          <w:lang w:eastAsia="en-AU"/>
        </w:rPr>
        <w:t xml:space="preserve"> (48%), compared with less than a quarter of young men</w:t>
      </w:r>
      <w:r w:rsidRPr="00D122D3">
        <w:rPr>
          <w:rFonts w:ascii="Arial" w:hAnsi="Arial" w:cs="Arial"/>
          <w:color w:val="000000"/>
          <w:lang w:eastAsia="en-AU"/>
        </w:rPr>
        <w:t xml:space="preserve"> (22.5%).</w:t>
      </w:r>
      <w:r w:rsidRPr="00D122D3">
        <w:rPr>
          <w:rFonts w:ascii="Arial" w:hAnsi="Arial" w:cs="Arial"/>
          <w:color w:val="000000"/>
          <w:vertAlign w:val="superscript"/>
          <w:lang w:eastAsia="en-AU"/>
        </w:rPr>
        <w:footnoteReference w:id="25"/>
      </w:r>
      <w:r w:rsidRPr="00D122D3">
        <w:rPr>
          <w:rFonts w:ascii="Arial" w:hAnsi="Arial" w:cs="Arial"/>
          <w:color w:val="000000"/>
          <w:lang w:eastAsia="en-AU"/>
        </w:rPr>
        <w:t xml:space="preserve"> </w:t>
      </w:r>
    </w:p>
    <w:p w14:paraId="2A4DE9A7" w14:textId="77777777" w:rsidR="00D122D3" w:rsidRPr="00D122D3" w:rsidRDefault="00D122D3" w:rsidP="00791A96">
      <w:pPr>
        <w:spacing w:after="120" w:line="276" w:lineRule="auto"/>
        <w:jc w:val="both"/>
        <w:rPr>
          <w:rFonts w:ascii="Arial" w:hAnsi="Arial" w:cs="Arial"/>
        </w:rPr>
      </w:pPr>
      <w:r w:rsidRPr="00D122D3">
        <w:rPr>
          <w:rFonts w:ascii="Arial" w:hAnsi="Arial" w:cs="Arial"/>
        </w:rPr>
        <w:t>The gendered social determinants or drivers of women’s mental health are expressions of a wider context of gender inequality in which women’s lives are lived. These determinants are not experienced in isolation from one another, but rather concurrently and cumulatively over the course of women’s lives. For example, risk factors for the development of mental disorders include: gender-based violence; socioeconomic disadvantage, income inequality and lack of access to resources; subordinate social status; and responsibility for the care of others, all of which disproportionately affect girls and women.</w:t>
      </w:r>
      <w:r w:rsidRPr="00D122D3">
        <w:rPr>
          <w:vertAlign w:val="superscript"/>
        </w:rPr>
        <w:footnoteReference w:id="26"/>
      </w:r>
      <w:r w:rsidRPr="00D122D3">
        <w:rPr>
          <w:rFonts w:ascii="Arial" w:hAnsi="Arial" w:cs="Arial"/>
        </w:rPr>
        <w:t xml:space="preserve"> </w:t>
      </w:r>
    </w:p>
    <w:p w14:paraId="28BDF429" w14:textId="77777777" w:rsidR="00D122D3" w:rsidRPr="00D122D3" w:rsidRDefault="00D122D3" w:rsidP="00791A96">
      <w:pPr>
        <w:spacing w:after="120" w:line="276" w:lineRule="auto"/>
        <w:jc w:val="both"/>
        <w:rPr>
          <w:rFonts w:cs="Arial"/>
          <w:b/>
          <w:sz w:val="24"/>
          <w:szCs w:val="24"/>
        </w:rPr>
      </w:pPr>
      <w:r w:rsidRPr="00D122D3">
        <w:rPr>
          <w:rFonts w:ascii="Arial" w:hAnsi="Arial" w:cs="Arial"/>
          <w:color w:val="ED7D31" w:themeColor="accent2"/>
          <w:sz w:val="24"/>
          <w:szCs w:val="24"/>
        </w:rPr>
        <w:t>How can we improve young women’s mental health?</w:t>
      </w:r>
    </w:p>
    <w:p w14:paraId="1A4C961C" w14:textId="2B1AF7B4" w:rsidR="00D122D3" w:rsidRPr="00D122D3" w:rsidRDefault="00D122D3" w:rsidP="00791A96">
      <w:pPr>
        <w:spacing w:after="120" w:line="276" w:lineRule="auto"/>
        <w:jc w:val="both"/>
        <w:rPr>
          <w:rFonts w:ascii="Arial" w:hAnsi="Arial" w:cs="Arial"/>
          <w:bCs/>
        </w:rPr>
      </w:pPr>
      <w:r w:rsidRPr="00D122D3">
        <w:rPr>
          <w:rFonts w:ascii="Arial" w:hAnsi="Arial" w:cs="Arial"/>
        </w:rPr>
        <w:t>Despite the clear gendered discrepancies in mental health for young people, there is a lack of awareness about the prevalence, risk factors and experience of poor mental health among women and girls. Gender is not routinely considered as part of mainstream mental health policy or practice</w:t>
      </w:r>
      <w:r w:rsidR="00B3212C">
        <w:rPr>
          <w:rFonts w:ascii="Arial" w:hAnsi="Arial" w:cs="Arial"/>
        </w:rPr>
        <w:t>.</w:t>
      </w:r>
      <w:r w:rsidRPr="00D122D3">
        <w:rPr>
          <w:rFonts w:ascii="Arial" w:hAnsi="Arial" w:cs="Arial"/>
        </w:rPr>
        <w:t xml:space="preserve"> </w:t>
      </w:r>
      <w:r w:rsidR="00B3212C">
        <w:rPr>
          <w:rFonts w:ascii="Arial" w:hAnsi="Arial" w:cs="Arial"/>
        </w:rPr>
        <w:t>T</w:t>
      </w:r>
      <w:r w:rsidRPr="00D122D3">
        <w:rPr>
          <w:rFonts w:ascii="Arial" w:hAnsi="Arial" w:cs="Arial"/>
        </w:rPr>
        <w:t>here is limited evidence about effective gender-responsive interventions</w:t>
      </w:r>
      <w:r w:rsidR="00B3212C">
        <w:rPr>
          <w:rFonts w:ascii="Arial" w:hAnsi="Arial" w:cs="Arial"/>
        </w:rPr>
        <w:t>,</w:t>
      </w:r>
      <w:r w:rsidRPr="00D122D3">
        <w:rPr>
          <w:rFonts w:ascii="Arial" w:hAnsi="Arial" w:cs="Arial"/>
          <w:vertAlign w:val="superscript"/>
        </w:rPr>
        <w:footnoteReference w:id="27"/>
      </w:r>
      <w:r w:rsidRPr="00D122D3">
        <w:rPr>
          <w:rFonts w:ascii="Arial" w:hAnsi="Arial" w:cs="Arial"/>
        </w:rPr>
        <w:t xml:space="preserve"> </w:t>
      </w:r>
      <w:r w:rsidR="00B3212C">
        <w:rPr>
          <w:rFonts w:ascii="Arial" w:hAnsi="Arial" w:cs="Arial"/>
        </w:rPr>
        <w:t>and</w:t>
      </w:r>
      <w:r w:rsidRPr="00D122D3">
        <w:rPr>
          <w:rFonts w:ascii="Arial" w:hAnsi="Arial" w:cs="Arial"/>
        </w:rPr>
        <w:t xml:space="preserve"> limited investment in strategies specifically targeted to improving young women’s mental health. However, b</w:t>
      </w:r>
      <w:r w:rsidRPr="00D122D3">
        <w:rPr>
          <w:rFonts w:ascii="Arial" w:hAnsi="Arial" w:cs="Arial"/>
          <w:bCs/>
        </w:rPr>
        <w:t>y addressing gender inequality and taking a gender-sensitive approach to mental health, there is an opportunity to significantly improve outcomes for young women, young men and gender diverse young people.</w:t>
      </w:r>
    </w:p>
    <w:p w14:paraId="1661C00E" w14:textId="77777777" w:rsidR="00D122D3" w:rsidRPr="00D122D3" w:rsidRDefault="00D122D3" w:rsidP="00791A96">
      <w:pPr>
        <w:spacing w:after="120" w:line="276" w:lineRule="auto"/>
        <w:jc w:val="both"/>
        <w:rPr>
          <w:rFonts w:ascii="Arial" w:hAnsi="Arial" w:cs="Arial"/>
        </w:rPr>
      </w:pPr>
      <w:r w:rsidRPr="00D122D3">
        <w:rPr>
          <w:rFonts w:ascii="Arial" w:hAnsi="Arial" w:cs="Arial"/>
        </w:rPr>
        <w:t>A gender-sensitive (or gender-responsive) approach to youth mental health is needed across the spectrum from primary prevention and early intervention through to treatment and recovery. A gender-responsive approach to health identifies gender differences and inequalities among women, men and non-binary people, and sets about addressing them.</w:t>
      </w:r>
      <w:r w:rsidRPr="00D122D3">
        <w:rPr>
          <w:rFonts w:ascii="Arial" w:hAnsi="Arial" w:cs="Arial"/>
          <w:vertAlign w:val="superscript"/>
        </w:rPr>
        <w:footnoteReference w:id="28"/>
      </w:r>
      <w:r w:rsidRPr="00D122D3">
        <w:rPr>
          <w:rFonts w:ascii="Arial" w:hAnsi="Arial" w:cs="Arial"/>
        </w:rPr>
        <w:t xml:space="preserve"> </w:t>
      </w:r>
    </w:p>
    <w:p w14:paraId="3ECDC587" w14:textId="77777777" w:rsidR="00D807DE" w:rsidRPr="00D807DE" w:rsidRDefault="00D122D3" w:rsidP="00D807DE">
      <w:pPr>
        <w:spacing w:after="120" w:line="276" w:lineRule="auto"/>
        <w:jc w:val="both"/>
        <w:rPr>
          <w:rFonts w:ascii="Arial" w:eastAsia="Times New Roman" w:hAnsi="Arial" w:cs="Arial"/>
        </w:rPr>
      </w:pPr>
      <w:r w:rsidRPr="00D122D3">
        <w:rPr>
          <w:rFonts w:ascii="Arial" w:eastAsia="Calibri" w:hAnsi="Arial" w:cs="Arial"/>
        </w:rPr>
        <w:t xml:space="preserve">A gendered approach to prevention of mental ill-health means addressing the gendered social determinants of poor mental health for women, men and those with diverse gender identities. </w:t>
      </w:r>
      <w:r w:rsidRPr="00D122D3">
        <w:rPr>
          <w:rFonts w:ascii="Arial" w:hAnsi="Arial" w:cs="Arial"/>
        </w:rPr>
        <w:t>The evidence suggests that the most effective way to reduce the risk of poor physical, emotional and mental health outcomes for young women is to create a more gender equal society for girls to grow up in.</w:t>
      </w:r>
      <w:r w:rsidRPr="00D122D3">
        <w:rPr>
          <w:rFonts w:ascii="Arial" w:hAnsi="Arial" w:cs="Arial"/>
          <w:vertAlign w:val="superscript"/>
        </w:rPr>
        <w:footnoteReference w:id="29"/>
      </w:r>
      <w:r w:rsidRPr="00D122D3">
        <w:rPr>
          <w:rFonts w:ascii="Arial" w:hAnsi="Arial" w:cs="Arial"/>
        </w:rPr>
        <w:t xml:space="preserve"> </w:t>
      </w:r>
      <w:r w:rsidR="00D807DE" w:rsidRPr="00D122D3">
        <w:rPr>
          <w:rFonts w:ascii="Arial" w:hAnsi="Arial" w:cs="Arial"/>
        </w:rPr>
        <w:t xml:space="preserve">By investing in and strengthening gender equity we can address the social determinants that lead to unequal mental health outcomes for young </w:t>
      </w:r>
      <w:r w:rsidR="00D807DE" w:rsidRPr="00D122D3">
        <w:rPr>
          <w:rFonts w:ascii="Arial" w:hAnsi="Arial" w:cs="Arial"/>
        </w:rPr>
        <w:lastRenderedPageBreak/>
        <w:t>women and gender-diverse young people. In other words, investing in gender equality is a primary prevention strategy for mental health.</w:t>
      </w:r>
    </w:p>
    <w:p w14:paraId="3F1189DD" w14:textId="771F9877" w:rsidR="00D122D3" w:rsidRDefault="00D122D3" w:rsidP="00D807DE">
      <w:pPr>
        <w:spacing w:after="120" w:line="276" w:lineRule="auto"/>
        <w:jc w:val="both"/>
        <w:rPr>
          <w:rFonts w:ascii="Arial" w:eastAsia="Calibri" w:hAnsi="Arial" w:cs="Arial"/>
        </w:rPr>
      </w:pPr>
      <w:r w:rsidRPr="00D122D3">
        <w:rPr>
          <w:rFonts w:ascii="Arial" w:hAnsi="Arial" w:cs="Arial"/>
        </w:rPr>
        <w:t>Initiatives to promote mental health and wellbeing need to address social pressures – including stress and poor body image – contributing to high levels of concern for young women.</w:t>
      </w:r>
      <w:r w:rsidRPr="00D122D3">
        <w:rPr>
          <w:rFonts w:ascii="Arial" w:hAnsi="Arial" w:cs="Arial"/>
          <w:vertAlign w:val="superscript"/>
        </w:rPr>
        <w:footnoteReference w:id="30"/>
      </w:r>
      <w:r w:rsidRPr="00D122D3">
        <w:rPr>
          <w:rFonts w:ascii="Arial" w:hAnsi="Arial" w:cs="Arial"/>
        </w:rPr>
        <w:t xml:space="preserve"> </w:t>
      </w:r>
      <w:r w:rsidRPr="00EC2086">
        <w:rPr>
          <w:rFonts w:ascii="Arial" w:hAnsi="Arial" w:cs="Arial"/>
        </w:rPr>
        <w:t>A</w:t>
      </w:r>
      <w:r w:rsidRPr="00EC2086">
        <w:rPr>
          <w:rFonts w:ascii="Arial" w:eastAsia="Calibri" w:hAnsi="Arial" w:cs="Arial"/>
        </w:rPr>
        <w:t>nalysis of women’s depressive symptoms by the Australian Longitudinal Study of Women’s Health has suggested that a range of factors, including education and financial resources, promotion of positive social support systems, and encouragement of health promoting lifestyles, might serve to promote young women's mental health.</w:t>
      </w:r>
      <w:r w:rsidRPr="00EC2086">
        <w:rPr>
          <w:rFonts w:ascii="Arial" w:eastAsia="Calibri" w:hAnsi="Arial" w:cs="Arial"/>
          <w:vertAlign w:val="superscript"/>
        </w:rPr>
        <w:footnoteReference w:id="31"/>
      </w:r>
    </w:p>
    <w:p w14:paraId="17146568" w14:textId="77777777" w:rsidR="00B3212C" w:rsidRPr="00D122D3" w:rsidRDefault="00B3212C" w:rsidP="000239E1">
      <w:pPr>
        <w:shd w:val="clear" w:color="auto" w:fill="B9FAFF"/>
        <w:spacing w:after="120" w:line="276" w:lineRule="auto"/>
        <w:rPr>
          <w:rFonts w:ascii="Arial" w:eastAsia="Calibri" w:hAnsi="Arial" w:cs="Arial"/>
          <w:b/>
          <w:bCs/>
        </w:rPr>
      </w:pPr>
      <w:r w:rsidRPr="00D122D3">
        <w:rPr>
          <w:rFonts w:ascii="Arial" w:eastAsia="Calibri" w:hAnsi="Arial" w:cs="Arial"/>
          <w:b/>
          <w:bCs/>
        </w:rPr>
        <w:t xml:space="preserve">Case study: Girls on the Go! </w:t>
      </w:r>
    </w:p>
    <w:p w14:paraId="04830833" w14:textId="5E58E5C3" w:rsidR="00B3212C" w:rsidRPr="00D122D3" w:rsidRDefault="00B3212C" w:rsidP="000239E1">
      <w:pPr>
        <w:shd w:val="clear" w:color="auto" w:fill="B9FAFF"/>
        <w:spacing w:after="120" w:line="276" w:lineRule="auto"/>
        <w:jc w:val="both"/>
        <w:rPr>
          <w:rFonts w:ascii="Arial" w:eastAsia="Calibri" w:hAnsi="Arial" w:cs="Arial"/>
        </w:rPr>
      </w:pPr>
      <w:r w:rsidRPr="00D122D3">
        <w:rPr>
          <w:rFonts w:ascii="Arial" w:eastAsia="Calibri" w:hAnsi="Arial" w:cs="Arial"/>
        </w:rPr>
        <w:t xml:space="preserve">Girls on the Go! is a </w:t>
      </w:r>
      <w:r>
        <w:rPr>
          <w:rFonts w:ascii="Arial" w:eastAsia="Calibri" w:hAnsi="Arial" w:cs="Arial"/>
        </w:rPr>
        <w:t xml:space="preserve">Victorian </w:t>
      </w:r>
      <w:r w:rsidRPr="00D122D3">
        <w:rPr>
          <w:rFonts w:ascii="Arial" w:eastAsia="Calibri" w:hAnsi="Arial" w:cs="Arial"/>
        </w:rPr>
        <w:t xml:space="preserve">10-week out-of-school program designed to improve self-esteem, body image, and confidence, using an empowerment model that involves interactive and experiential learning approaches. An evaluation found a significant increase in self-esteem, self-efficacy and reduced dieting behaviours in secondary school participants. These gains were sustained at a 6-month follow-up. The study took place at a community health centre in a culturally diverse area of Melbourne and the authors concluded that Girls on the Go!  is a successful way to improve self-esteem among girls from many cultural </w:t>
      </w:r>
      <w:proofErr w:type="gramStart"/>
      <w:r w:rsidRPr="00D122D3">
        <w:rPr>
          <w:rFonts w:ascii="Arial" w:eastAsia="Calibri" w:hAnsi="Arial" w:cs="Arial"/>
        </w:rPr>
        <w:t>backgrounds.</w:t>
      </w:r>
      <w:proofErr w:type="gramEnd"/>
      <w:r w:rsidRPr="00D122D3">
        <w:rPr>
          <w:rFonts w:ascii="Arial" w:eastAsia="Calibri" w:hAnsi="Arial" w:cs="Arial"/>
          <w:vertAlign w:val="superscript"/>
        </w:rPr>
        <w:footnoteReference w:id="32"/>
      </w:r>
      <w:r w:rsidRPr="00D122D3">
        <w:rPr>
          <w:rFonts w:ascii="Arial" w:eastAsia="Calibri" w:hAnsi="Arial" w:cs="Arial"/>
        </w:rPr>
        <w:t xml:space="preserve"> </w:t>
      </w:r>
    </w:p>
    <w:p w14:paraId="31DE2F98" w14:textId="77777777" w:rsidR="00B3212C" w:rsidRPr="00D122D3" w:rsidRDefault="00B3212C" w:rsidP="000239E1">
      <w:pPr>
        <w:shd w:val="clear" w:color="auto" w:fill="B9FAFF"/>
        <w:autoSpaceDE w:val="0"/>
        <w:autoSpaceDN w:val="0"/>
        <w:adjustRightInd w:val="0"/>
        <w:spacing w:after="120" w:line="276" w:lineRule="auto"/>
        <w:jc w:val="both"/>
        <w:rPr>
          <w:rFonts w:ascii="Arial" w:hAnsi="Arial" w:cs="Arial"/>
          <w:b/>
          <w:bCs/>
        </w:rPr>
      </w:pPr>
      <w:r w:rsidRPr="00D122D3">
        <w:rPr>
          <w:rFonts w:ascii="Arial" w:hAnsi="Arial" w:cs="Arial"/>
          <w:b/>
          <w:bCs/>
        </w:rPr>
        <w:t>Case study: Hear Me, See Me, Support Me</w:t>
      </w:r>
    </w:p>
    <w:p w14:paraId="33D4B45C" w14:textId="77777777" w:rsidR="00B3212C" w:rsidRPr="00D122D3" w:rsidRDefault="009D5D6C" w:rsidP="000239E1">
      <w:pPr>
        <w:shd w:val="clear" w:color="auto" w:fill="B9FAFF"/>
        <w:spacing w:after="120" w:line="276" w:lineRule="auto"/>
        <w:jc w:val="both"/>
        <w:rPr>
          <w:rFonts w:ascii="Arial" w:hAnsi="Arial" w:cs="Arial"/>
        </w:rPr>
      </w:pPr>
      <w:hyperlink r:id="rId30" w:history="1">
        <w:r w:rsidR="00B3212C" w:rsidRPr="00D122D3">
          <w:rPr>
            <w:rFonts w:ascii="Arial" w:hAnsi="Arial" w:cs="Arial"/>
            <w:color w:val="0563C1" w:themeColor="hyperlink"/>
            <w:u w:val="single"/>
          </w:rPr>
          <w:t>Hear Me, See Me, Support Me: What young women want you to know about depression</w:t>
        </w:r>
      </w:hyperlink>
      <w:r w:rsidR="00B3212C" w:rsidRPr="00D122D3">
        <w:rPr>
          <w:rFonts w:ascii="Arial" w:hAnsi="Arial" w:cs="Arial"/>
        </w:rPr>
        <w:t xml:space="preserve"> is a 2006 resource developed by young women in Canada. When asked for their ideas about depression, young women don’t, for the most part, identify physical “symptoms” that can be treated with a prescription. They call attention instead to factors outside of themselves (e.g. cultural expectations, family dynamics, friendship, intimacy, peer pressure and fitting in, </w:t>
      </w:r>
      <w:proofErr w:type="spellStart"/>
      <w:r w:rsidR="00B3212C" w:rsidRPr="00D122D3">
        <w:rPr>
          <w:rFonts w:ascii="Arial" w:hAnsi="Arial" w:cs="Arial"/>
        </w:rPr>
        <w:t>sizism</w:t>
      </w:r>
      <w:proofErr w:type="spellEnd"/>
      <w:r w:rsidR="00B3212C" w:rsidRPr="00D122D3">
        <w:rPr>
          <w:rFonts w:ascii="Arial" w:hAnsi="Arial" w:cs="Arial"/>
        </w:rPr>
        <w:t>, body image and media, racism, trauma (unspoken) and anger) that can prevent young women from slipping into clinical depression.</w:t>
      </w:r>
    </w:p>
    <w:p w14:paraId="3A205708" w14:textId="1150CC80" w:rsidR="00B3212C" w:rsidRPr="00B3212C" w:rsidRDefault="00B3212C" w:rsidP="000239E1">
      <w:pPr>
        <w:shd w:val="clear" w:color="auto" w:fill="B9FAFF"/>
        <w:spacing w:after="120" w:line="276" w:lineRule="auto"/>
        <w:jc w:val="both"/>
        <w:rPr>
          <w:rFonts w:ascii="Arial" w:eastAsia="Calibri" w:hAnsi="Arial" w:cs="Arial"/>
        </w:rPr>
      </w:pPr>
      <w:r w:rsidRPr="00D122D3">
        <w:rPr>
          <w:rFonts w:ascii="Arial" w:eastAsia="Calibri" w:hAnsi="Arial" w:cs="Arial"/>
        </w:rPr>
        <w:t xml:space="preserve">While the case studies above represent examples of promising practice, there is a need to address the current a lack of research </w:t>
      </w:r>
      <w:r w:rsidRPr="00D122D3">
        <w:rPr>
          <w:rFonts w:ascii="Arial" w:hAnsi="Arial" w:cs="Arial"/>
        </w:rPr>
        <w:t xml:space="preserve">into how best to address the gendered drivers of poor mental health in order to promote mental health and wellbeing among women and girls.  </w:t>
      </w:r>
    </w:p>
    <w:p w14:paraId="1EE2C6A4" w14:textId="74BB9B55" w:rsidR="00D122D3" w:rsidRPr="00D122D3" w:rsidRDefault="00D122D3" w:rsidP="00791A96">
      <w:pPr>
        <w:spacing w:after="120" w:line="276" w:lineRule="auto"/>
        <w:jc w:val="both"/>
        <w:rPr>
          <w:rFonts w:ascii="Arial" w:hAnsi="Arial" w:cs="Arial"/>
        </w:rPr>
      </w:pPr>
      <w:r w:rsidRPr="00D122D3">
        <w:rPr>
          <w:rFonts w:ascii="Arial" w:hAnsi="Arial" w:cs="Arial"/>
        </w:rPr>
        <w:t xml:space="preserve">Gender-responsive mental health services are </w:t>
      </w:r>
      <w:r w:rsidR="00B3212C">
        <w:rPr>
          <w:rFonts w:ascii="Arial" w:hAnsi="Arial" w:cs="Arial"/>
        </w:rPr>
        <w:t xml:space="preserve">also </w:t>
      </w:r>
      <w:r w:rsidRPr="00D122D3">
        <w:rPr>
          <w:rFonts w:ascii="Arial" w:hAnsi="Arial" w:cs="Arial"/>
        </w:rPr>
        <w:t>needed to respond to the concerns, challenges and support preferences of young women, men and gender-diverse people.</w:t>
      </w:r>
      <w:r w:rsidRPr="00D122D3">
        <w:rPr>
          <w:rFonts w:ascii="Arial" w:hAnsi="Arial" w:cs="Arial"/>
          <w:vertAlign w:val="superscript"/>
        </w:rPr>
        <w:footnoteReference w:id="33"/>
      </w:r>
      <w:r w:rsidRPr="00D122D3">
        <w:rPr>
          <w:rFonts w:ascii="Arial" w:hAnsi="Arial" w:cs="Arial"/>
        </w:rPr>
        <w:t xml:space="preserve"> Mental Health Reform Victoria has recently recognised this need, by releasing a tender for </w:t>
      </w:r>
      <w:r w:rsidR="00B3212C">
        <w:rPr>
          <w:rFonts w:ascii="Arial" w:hAnsi="Arial" w:cs="Arial"/>
        </w:rPr>
        <w:t xml:space="preserve">the development of </w:t>
      </w:r>
      <w:r w:rsidRPr="00D122D3">
        <w:rPr>
          <w:rFonts w:ascii="Arial" w:hAnsi="Arial" w:cs="Arial"/>
        </w:rPr>
        <w:t xml:space="preserve">a dedicated women’s mental health service. However, young people’s mental health services remain gender-insensitive. </w:t>
      </w:r>
    </w:p>
    <w:p w14:paraId="7CEB55DE" w14:textId="72A74DF4" w:rsidR="00D122D3" w:rsidRPr="00D122D3" w:rsidRDefault="00D122D3" w:rsidP="00791A96">
      <w:pPr>
        <w:keepNext/>
        <w:keepLines/>
        <w:spacing w:after="120" w:line="276" w:lineRule="auto"/>
        <w:jc w:val="both"/>
        <w:outlineLvl w:val="1"/>
        <w:rPr>
          <w:rFonts w:ascii="Arial" w:eastAsiaTheme="majorEastAsia" w:hAnsi="Arial" w:cs="Arial"/>
          <w:b/>
          <w:bCs/>
          <w:color w:val="1F3864" w:themeColor="accent1" w:themeShade="80"/>
          <w:sz w:val="30"/>
          <w:szCs w:val="26"/>
        </w:rPr>
      </w:pPr>
      <w:bookmarkStart w:id="8" w:name="_Toc59045878"/>
      <w:r w:rsidRPr="00D122D3">
        <w:rPr>
          <w:rFonts w:ascii="Arial" w:eastAsiaTheme="majorEastAsia" w:hAnsi="Arial" w:cs="Arial"/>
          <w:b/>
          <w:bCs/>
          <w:color w:val="1F3864" w:themeColor="accent1" w:themeShade="80"/>
          <w:sz w:val="30"/>
          <w:szCs w:val="26"/>
        </w:rPr>
        <w:lastRenderedPageBreak/>
        <w:t>Mental health issues affecting young women</w:t>
      </w:r>
      <w:bookmarkEnd w:id="8"/>
    </w:p>
    <w:p w14:paraId="6B4A331C" w14:textId="77777777" w:rsidR="00D122D3" w:rsidRPr="00D122D3" w:rsidRDefault="00D122D3" w:rsidP="00791A96">
      <w:pPr>
        <w:spacing w:after="120" w:line="276" w:lineRule="auto"/>
        <w:jc w:val="both"/>
        <w:rPr>
          <w:rFonts w:ascii="Arial" w:hAnsi="Arial" w:cs="Arial"/>
          <w:b/>
          <w:bCs/>
        </w:rPr>
      </w:pPr>
      <w:r w:rsidRPr="00D122D3">
        <w:rPr>
          <w:rFonts w:ascii="Arial" w:hAnsi="Arial" w:cs="Arial"/>
          <w:bCs/>
        </w:rPr>
        <w:t>The following section highlights key areas of young women’s mental health that need a stronger focus, including stress, body image, anxiety and depression, self-harm and suicidal behaviours, eating disorders and help-seeking behaviours.</w:t>
      </w:r>
    </w:p>
    <w:p w14:paraId="1897B6FB" w14:textId="77777777" w:rsidR="00D122D3" w:rsidRPr="00D122D3" w:rsidRDefault="00D122D3" w:rsidP="00791A96">
      <w:pPr>
        <w:spacing w:after="120" w:line="276" w:lineRule="auto"/>
        <w:jc w:val="both"/>
        <w:rPr>
          <w:rFonts w:ascii="Arial" w:hAnsi="Arial" w:cs="Arial"/>
          <w:color w:val="ED7D31" w:themeColor="accent2"/>
          <w:sz w:val="24"/>
          <w:szCs w:val="24"/>
        </w:rPr>
      </w:pPr>
      <w:bookmarkStart w:id="9" w:name="_Toc57983223"/>
      <w:bookmarkStart w:id="10" w:name="_Toc57983222"/>
      <w:r w:rsidRPr="00D122D3">
        <w:rPr>
          <w:rFonts w:ascii="Arial" w:hAnsi="Arial" w:cs="Arial"/>
          <w:color w:val="ED7D31" w:themeColor="accent2"/>
          <w:sz w:val="24"/>
          <w:szCs w:val="24"/>
        </w:rPr>
        <w:t>Stress</w:t>
      </w:r>
      <w:bookmarkEnd w:id="9"/>
    </w:p>
    <w:p w14:paraId="0F536DC3" w14:textId="6620033A" w:rsidR="00D122D3" w:rsidRPr="00D122D3" w:rsidRDefault="00D122D3" w:rsidP="00791A96">
      <w:pPr>
        <w:spacing w:after="120" w:line="276" w:lineRule="auto"/>
        <w:jc w:val="both"/>
        <w:rPr>
          <w:rFonts w:ascii="Arial" w:hAnsi="Arial" w:cs="Arial"/>
        </w:rPr>
      </w:pPr>
      <w:r w:rsidRPr="00D122D3">
        <w:rPr>
          <w:rFonts w:ascii="Arial" w:hAnsi="Arial" w:cs="Arial"/>
          <w:bCs/>
        </w:rPr>
        <w:t xml:space="preserve">Young women report high levels of stress, which is often driven by gender inequalities. </w:t>
      </w:r>
      <w:r w:rsidRPr="00D122D3">
        <w:rPr>
          <w:rFonts w:ascii="Arial" w:hAnsi="Arial" w:cs="Arial"/>
        </w:rPr>
        <w:t xml:space="preserve">In Mission Australia’s 2020 Youth Survey, twice as many young women in Victoria reported that coping with stress was a major issue of concern (56.9% compared with 28.0% of </w:t>
      </w:r>
      <w:r w:rsidR="00DB4998">
        <w:rPr>
          <w:rFonts w:ascii="Arial" w:hAnsi="Arial" w:cs="Arial"/>
        </w:rPr>
        <w:t xml:space="preserve">young </w:t>
      </w:r>
      <w:r w:rsidR="00B3212C">
        <w:rPr>
          <w:rFonts w:ascii="Arial" w:hAnsi="Arial" w:cs="Arial"/>
        </w:rPr>
        <w:t>men</w:t>
      </w:r>
      <w:r w:rsidRPr="00D122D3">
        <w:rPr>
          <w:rFonts w:ascii="Arial" w:hAnsi="Arial" w:cs="Arial"/>
        </w:rPr>
        <w:t>). Young Aboriginal and Torres Strait Islander women share these concerns.</w:t>
      </w:r>
    </w:p>
    <w:p w14:paraId="0EA69C9F" w14:textId="77777777" w:rsidR="00D122D3" w:rsidRPr="00D122D3" w:rsidRDefault="00D122D3" w:rsidP="00791A96">
      <w:pPr>
        <w:spacing w:after="120" w:line="276" w:lineRule="auto"/>
        <w:jc w:val="both"/>
        <w:rPr>
          <w:rFonts w:ascii="Arial" w:hAnsi="Arial" w:cs="Arial"/>
        </w:rPr>
      </w:pPr>
      <w:r w:rsidRPr="00D122D3">
        <w:rPr>
          <w:rFonts w:ascii="Arial" w:hAnsi="Arial" w:cs="Arial"/>
        </w:rPr>
        <w:t>Multiple and intersecting stressors affect young women. These include:</w:t>
      </w:r>
    </w:p>
    <w:p w14:paraId="28D33DE1" w14:textId="77777777" w:rsidR="00D122D3" w:rsidRPr="00D122D3" w:rsidRDefault="00D122D3" w:rsidP="00791A96">
      <w:pPr>
        <w:numPr>
          <w:ilvl w:val="0"/>
          <w:numId w:val="9"/>
        </w:numPr>
        <w:spacing w:after="120" w:line="276" w:lineRule="auto"/>
        <w:jc w:val="both"/>
        <w:rPr>
          <w:rFonts w:ascii="Arial" w:hAnsi="Arial" w:cs="Arial"/>
        </w:rPr>
      </w:pPr>
      <w:r w:rsidRPr="00D122D3">
        <w:rPr>
          <w:rFonts w:ascii="Arial" w:hAnsi="Arial" w:cs="Arial"/>
        </w:rPr>
        <w:t>Pressure to be successful and achieve good marks,</w:t>
      </w:r>
      <w:r w:rsidRPr="00D122D3">
        <w:rPr>
          <w:rFonts w:ascii="Arial" w:hAnsi="Arial" w:cs="Arial"/>
          <w:vertAlign w:val="superscript"/>
        </w:rPr>
        <w:footnoteReference w:id="34"/>
      </w:r>
      <w:r w:rsidRPr="00D122D3">
        <w:rPr>
          <w:rFonts w:ascii="Arial" w:hAnsi="Arial" w:cs="Arial"/>
        </w:rPr>
        <w:t xml:space="preserve"> and feeling that they need to work ‘harder’ than boys to be successful.</w:t>
      </w:r>
      <w:r w:rsidRPr="00D122D3">
        <w:rPr>
          <w:rFonts w:ascii="Arial" w:hAnsi="Arial" w:cs="Arial"/>
          <w:vertAlign w:val="superscript"/>
        </w:rPr>
        <w:footnoteReference w:id="35"/>
      </w:r>
      <w:r w:rsidRPr="00D122D3">
        <w:rPr>
          <w:rFonts w:ascii="Arial" w:hAnsi="Arial" w:cs="Arial"/>
        </w:rPr>
        <w:t xml:space="preserve"> </w:t>
      </w:r>
    </w:p>
    <w:p w14:paraId="4AF9AA78" w14:textId="01EE2D67" w:rsidR="00D122D3" w:rsidRPr="00D122D3" w:rsidRDefault="00D122D3" w:rsidP="00791A96">
      <w:pPr>
        <w:numPr>
          <w:ilvl w:val="0"/>
          <w:numId w:val="9"/>
        </w:numPr>
        <w:spacing w:after="120" w:line="276" w:lineRule="auto"/>
        <w:jc w:val="both"/>
        <w:rPr>
          <w:rFonts w:ascii="Arial" w:hAnsi="Arial" w:cs="Arial"/>
        </w:rPr>
      </w:pPr>
      <w:r w:rsidRPr="00D122D3">
        <w:rPr>
          <w:rFonts w:ascii="Arial" w:hAnsi="Arial" w:cs="Arial"/>
        </w:rPr>
        <w:t>Pressure to be ‘perfect’ – to be the perfect friend/</w:t>
      </w:r>
      <w:r w:rsidR="00B3212C">
        <w:rPr>
          <w:rFonts w:ascii="Arial" w:hAnsi="Arial" w:cs="Arial"/>
        </w:rPr>
        <w:t>student</w:t>
      </w:r>
      <w:r w:rsidRPr="00D122D3">
        <w:rPr>
          <w:rFonts w:ascii="Arial" w:hAnsi="Arial" w:cs="Arial"/>
        </w:rPr>
        <w:t>/partner and have the perfect body – as well as guilt associated with inactivity and ‘inefficiency’.</w:t>
      </w:r>
      <w:r w:rsidRPr="00D122D3">
        <w:rPr>
          <w:rFonts w:ascii="Arial" w:hAnsi="Arial" w:cs="Arial"/>
          <w:vertAlign w:val="superscript"/>
        </w:rPr>
        <w:footnoteReference w:id="36"/>
      </w:r>
      <w:r w:rsidRPr="00D122D3">
        <w:rPr>
          <w:rFonts w:ascii="Arial" w:hAnsi="Arial" w:cs="Arial"/>
          <w:vertAlign w:val="superscript"/>
        </w:rPr>
        <w:t xml:space="preserve"> </w:t>
      </w:r>
    </w:p>
    <w:p w14:paraId="670D8D3E" w14:textId="77777777" w:rsidR="00D122D3" w:rsidRPr="00D122D3" w:rsidRDefault="00D122D3" w:rsidP="00791A96">
      <w:pPr>
        <w:numPr>
          <w:ilvl w:val="0"/>
          <w:numId w:val="9"/>
        </w:numPr>
        <w:spacing w:after="120" w:line="276" w:lineRule="auto"/>
        <w:jc w:val="both"/>
        <w:rPr>
          <w:rFonts w:ascii="Arial" w:hAnsi="Arial" w:cs="Arial"/>
        </w:rPr>
      </w:pPr>
      <w:r w:rsidRPr="00D122D3">
        <w:rPr>
          <w:rFonts w:ascii="Arial" w:hAnsi="Arial" w:cs="Arial"/>
        </w:rPr>
        <w:t>Pressure to be pleasing and care for others (therefore not having enough personal time).</w:t>
      </w:r>
      <w:r w:rsidRPr="00D122D3">
        <w:rPr>
          <w:rFonts w:ascii="Arial" w:hAnsi="Arial" w:cs="Arial"/>
          <w:vertAlign w:val="superscript"/>
        </w:rPr>
        <w:footnoteReference w:id="37"/>
      </w:r>
    </w:p>
    <w:p w14:paraId="0DF06096" w14:textId="77777777" w:rsidR="00D122D3" w:rsidRPr="00D122D3" w:rsidRDefault="00D122D3" w:rsidP="00791A96">
      <w:pPr>
        <w:numPr>
          <w:ilvl w:val="0"/>
          <w:numId w:val="9"/>
        </w:numPr>
        <w:spacing w:after="120" w:line="276" w:lineRule="auto"/>
        <w:jc w:val="both"/>
        <w:rPr>
          <w:rFonts w:ascii="Arial" w:hAnsi="Arial" w:cs="Arial"/>
        </w:rPr>
      </w:pPr>
      <w:r w:rsidRPr="00D122D3">
        <w:rPr>
          <w:rFonts w:ascii="Arial" w:hAnsi="Arial" w:cs="Arial"/>
        </w:rPr>
        <w:t>Having more expected of them than of their brothers.</w:t>
      </w:r>
      <w:r w:rsidRPr="00D122D3">
        <w:rPr>
          <w:rFonts w:ascii="Arial" w:hAnsi="Arial" w:cs="Arial"/>
          <w:vertAlign w:val="superscript"/>
        </w:rPr>
        <w:footnoteReference w:id="38"/>
      </w:r>
      <w:r w:rsidRPr="00D122D3">
        <w:rPr>
          <w:rFonts w:ascii="Arial" w:hAnsi="Arial" w:cs="Arial"/>
        </w:rPr>
        <w:t xml:space="preserve"> For example, girls generally do more housework and homework than boys.</w:t>
      </w:r>
      <w:r w:rsidRPr="00D122D3">
        <w:rPr>
          <w:rFonts w:ascii="Arial" w:hAnsi="Arial" w:cs="Arial"/>
          <w:sz w:val="20"/>
          <w:szCs w:val="20"/>
          <w:vertAlign w:val="superscript"/>
        </w:rPr>
        <w:footnoteReference w:id="39"/>
      </w:r>
      <w:r w:rsidRPr="00D122D3">
        <w:rPr>
          <w:rFonts w:ascii="Arial" w:hAnsi="Arial" w:cs="Arial"/>
          <w:sz w:val="20"/>
          <w:szCs w:val="20"/>
        </w:rPr>
        <w:t xml:space="preserve"> </w:t>
      </w:r>
    </w:p>
    <w:p w14:paraId="59B624E5" w14:textId="77777777" w:rsidR="00D122D3" w:rsidRPr="00D122D3" w:rsidRDefault="00D122D3" w:rsidP="00791A96">
      <w:pPr>
        <w:numPr>
          <w:ilvl w:val="0"/>
          <w:numId w:val="9"/>
        </w:numPr>
        <w:spacing w:after="120" w:line="276" w:lineRule="auto"/>
        <w:jc w:val="both"/>
        <w:rPr>
          <w:rFonts w:ascii="Arial" w:hAnsi="Arial" w:cs="Arial"/>
        </w:rPr>
      </w:pPr>
      <w:r w:rsidRPr="00D122D3">
        <w:rPr>
          <w:rFonts w:ascii="Arial" w:hAnsi="Arial" w:cs="Arial"/>
        </w:rPr>
        <w:t xml:space="preserve">Pressure on appearance, and the notion that the female body needs to be controlled (for example, through dieting, body hair removal). </w:t>
      </w:r>
    </w:p>
    <w:p w14:paraId="42482F23" w14:textId="6E99AB04" w:rsidR="00D122D3" w:rsidRPr="00B3212C" w:rsidRDefault="00D122D3" w:rsidP="00B3212C">
      <w:pPr>
        <w:numPr>
          <w:ilvl w:val="0"/>
          <w:numId w:val="9"/>
        </w:numPr>
        <w:spacing w:after="120" w:line="276" w:lineRule="auto"/>
        <w:jc w:val="both"/>
        <w:rPr>
          <w:rFonts w:ascii="Arial" w:hAnsi="Arial" w:cs="Arial"/>
        </w:rPr>
      </w:pPr>
      <w:r w:rsidRPr="00D122D3">
        <w:rPr>
          <w:rFonts w:ascii="Arial" w:hAnsi="Arial" w:cs="Arial"/>
        </w:rPr>
        <w:t xml:space="preserve">Exposure to gender-based violence and harassment, and fear of assault. </w:t>
      </w:r>
      <w:r w:rsidR="00B3212C" w:rsidRPr="00D122D3">
        <w:rPr>
          <w:rFonts w:ascii="Arial" w:hAnsi="Arial" w:cs="Arial"/>
        </w:rPr>
        <w:t>Girls feel less comfortable and safe in their neighbourhoods and are less likely to be allowed to travel by themselves.</w:t>
      </w:r>
      <w:r w:rsidR="00B3212C" w:rsidRPr="00D122D3">
        <w:rPr>
          <w:rFonts w:ascii="Arial" w:hAnsi="Arial" w:cs="Arial"/>
          <w:sz w:val="20"/>
          <w:szCs w:val="20"/>
          <w:vertAlign w:val="superscript"/>
        </w:rPr>
        <w:footnoteReference w:id="40"/>
      </w:r>
    </w:p>
    <w:p w14:paraId="66451F7D" w14:textId="77777777" w:rsidR="00D122D3" w:rsidRPr="00D122D3" w:rsidRDefault="00D122D3" w:rsidP="00791A96">
      <w:pPr>
        <w:spacing w:after="120" w:line="276" w:lineRule="auto"/>
        <w:jc w:val="both"/>
        <w:rPr>
          <w:rFonts w:ascii="Arial" w:hAnsi="Arial" w:cs="Arial"/>
        </w:rPr>
      </w:pPr>
      <w:r w:rsidRPr="00D122D3">
        <w:rPr>
          <w:rFonts w:ascii="Arial" w:hAnsi="Arial" w:cs="Arial"/>
        </w:rPr>
        <w:lastRenderedPageBreak/>
        <w:t>Research suggests that same-sex attracted and gender-queer young people living in rural and regional Victoria face added pressures due to higher levels of homophobia, increased surveillance, and reduced access to relevant information, resources and services.</w:t>
      </w:r>
      <w:r w:rsidRPr="00D122D3">
        <w:rPr>
          <w:rFonts w:ascii="Arial" w:hAnsi="Arial" w:cs="Arial"/>
          <w:vertAlign w:val="superscript"/>
        </w:rPr>
        <w:footnoteReference w:id="41"/>
      </w:r>
      <w:r w:rsidRPr="00D122D3">
        <w:rPr>
          <w:rFonts w:ascii="Arial" w:hAnsi="Arial" w:cs="Arial"/>
        </w:rPr>
        <w:t xml:space="preserve"> </w:t>
      </w:r>
    </w:p>
    <w:p w14:paraId="04D5ED15" w14:textId="77777777" w:rsidR="00D122D3" w:rsidRPr="003F5CA3" w:rsidRDefault="00D122D3" w:rsidP="00791A96">
      <w:pPr>
        <w:spacing w:after="120" w:line="276" w:lineRule="auto"/>
        <w:jc w:val="both"/>
        <w:rPr>
          <w:rFonts w:ascii="Arial" w:hAnsi="Arial" w:cs="Arial"/>
        </w:rPr>
      </w:pPr>
      <w:r w:rsidRPr="003F5CA3">
        <w:rPr>
          <w:rFonts w:ascii="Arial" w:hAnsi="Arial" w:cs="Arial"/>
        </w:rPr>
        <w:t>Young mental health carers, who are overwhelmingly female, experience particular challenges and vulnerabilities. For example, evidence shows young mental health carers experience higher rates of educational disengagement and lower rates of mental health and wellbeing than young people with other types of caring responsibilities.</w:t>
      </w:r>
      <w:r w:rsidRPr="003F5CA3">
        <w:rPr>
          <w:rFonts w:ascii="Arial" w:hAnsi="Arial" w:cs="Arial"/>
          <w:vertAlign w:val="superscript"/>
        </w:rPr>
        <w:footnoteReference w:id="42"/>
      </w:r>
      <w:r w:rsidRPr="003F5CA3">
        <w:rPr>
          <w:rFonts w:ascii="Arial" w:hAnsi="Arial" w:cs="Arial"/>
        </w:rPr>
        <w:t xml:space="preserve"> They may also present as high achievers at school, which can compound the immense pressure of their caring roles.</w:t>
      </w:r>
      <w:r w:rsidRPr="003F5CA3">
        <w:rPr>
          <w:rFonts w:ascii="Arial" w:hAnsi="Arial" w:cs="Arial"/>
          <w:vertAlign w:val="superscript"/>
        </w:rPr>
        <w:t xml:space="preserve"> </w:t>
      </w:r>
      <w:r w:rsidRPr="003F5CA3">
        <w:rPr>
          <w:rFonts w:ascii="Arial" w:hAnsi="Arial" w:cs="Arial"/>
          <w:vertAlign w:val="superscript"/>
        </w:rPr>
        <w:footnoteReference w:id="43"/>
      </w:r>
      <w:r w:rsidRPr="003F5CA3">
        <w:rPr>
          <w:rFonts w:ascii="Arial" w:hAnsi="Arial" w:cs="Arial"/>
        </w:rPr>
        <w:t xml:space="preserve">   </w:t>
      </w:r>
    </w:p>
    <w:p w14:paraId="1DF4FCF9" w14:textId="77777777" w:rsidR="00D122D3" w:rsidRPr="00D122D3" w:rsidRDefault="00D122D3" w:rsidP="00791A96">
      <w:pPr>
        <w:spacing w:after="120" w:line="276" w:lineRule="auto"/>
        <w:jc w:val="both"/>
        <w:rPr>
          <w:rFonts w:ascii="Arial" w:hAnsi="Arial" w:cs="Arial"/>
          <w:color w:val="ED7D31" w:themeColor="accent2"/>
          <w:sz w:val="24"/>
          <w:szCs w:val="24"/>
        </w:rPr>
      </w:pPr>
      <w:r w:rsidRPr="00D122D3">
        <w:rPr>
          <w:rFonts w:ascii="Arial" w:hAnsi="Arial" w:cs="Arial"/>
        </w:rPr>
        <w:t xml:space="preserve">It is clear that unfair and unrealistic gender norms and expectations, and gendered experiences of discrimination, underpin these stressors for young women. Initiatives to increase </w:t>
      </w:r>
      <w:r w:rsidRPr="00D122D3">
        <w:rPr>
          <w:rFonts w:ascii="Arial" w:hAnsi="Arial" w:cs="Arial"/>
          <w:bCs/>
        </w:rPr>
        <w:t>gender equity should therefore be an important component of the health and wellbeing domain of the Victorian Youth Strategy.</w:t>
      </w:r>
    </w:p>
    <w:p w14:paraId="5A9994BA" w14:textId="77777777" w:rsidR="00D122D3" w:rsidRPr="00D122D3" w:rsidRDefault="00D122D3" w:rsidP="00791A96">
      <w:pPr>
        <w:spacing w:after="120" w:line="276" w:lineRule="auto"/>
        <w:jc w:val="both"/>
        <w:rPr>
          <w:rFonts w:ascii="Arial" w:hAnsi="Arial" w:cs="Arial"/>
          <w:color w:val="ED7D31" w:themeColor="accent2"/>
          <w:sz w:val="24"/>
          <w:szCs w:val="24"/>
        </w:rPr>
      </w:pPr>
      <w:r w:rsidRPr="00D122D3">
        <w:rPr>
          <w:rFonts w:ascii="Arial" w:hAnsi="Arial" w:cs="Arial"/>
          <w:color w:val="ED7D31" w:themeColor="accent2"/>
          <w:sz w:val="24"/>
          <w:szCs w:val="24"/>
        </w:rPr>
        <w:t>Body image</w:t>
      </w:r>
      <w:bookmarkEnd w:id="10"/>
    </w:p>
    <w:p w14:paraId="50EB8D38" w14:textId="77777777" w:rsidR="00D122D3" w:rsidRPr="00D122D3" w:rsidRDefault="00D122D3" w:rsidP="00791A96">
      <w:pPr>
        <w:spacing w:after="120" w:line="276" w:lineRule="auto"/>
        <w:jc w:val="both"/>
        <w:rPr>
          <w:rFonts w:ascii="Arial" w:hAnsi="Arial" w:cs="Arial"/>
        </w:rPr>
      </w:pPr>
      <w:r w:rsidRPr="00D122D3">
        <w:rPr>
          <w:rFonts w:ascii="Arial" w:hAnsi="Arial" w:cs="Arial"/>
        </w:rPr>
        <w:t>Mission Australia’s 2020 Youth Survey found that nearly three times as many young women as young men report being extremely or very concerned about body image (45.9% compared with 15.7%). Nearly one in ten young women rate body image as their biggest personal concern (compared with 2.9% of males), and body image is the second most pressing concern overall for young women in Victoria.</w:t>
      </w:r>
      <w:r w:rsidRPr="00D122D3">
        <w:rPr>
          <w:rFonts w:ascii="Arial" w:hAnsi="Arial" w:cs="Arial"/>
          <w:vertAlign w:val="superscript"/>
        </w:rPr>
        <w:footnoteReference w:id="44"/>
      </w:r>
      <w:r w:rsidRPr="00D122D3">
        <w:rPr>
          <w:rFonts w:ascii="Arial" w:hAnsi="Arial" w:cs="Arial"/>
        </w:rPr>
        <w:t xml:space="preserve"> </w:t>
      </w:r>
    </w:p>
    <w:p w14:paraId="77957B87" w14:textId="77777777" w:rsidR="00D122D3" w:rsidRPr="00D122D3" w:rsidRDefault="00D122D3" w:rsidP="00791A96">
      <w:pPr>
        <w:spacing w:after="120" w:line="276" w:lineRule="auto"/>
        <w:jc w:val="both"/>
        <w:rPr>
          <w:rFonts w:ascii="Arial" w:hAnsi="Arial" w:cs="Arial"/>
        </w:rPr>
      </w:pPr>
      <w:r w:rsidRPr="00D122D3">
        <w:rPr>
          <w:rFonts w:ascii="Arial" w:hAnsi="Arial" w:cs="Arial"/>
        </w:rPr>
        <w:t>In a society in which more than half of Australian girls report that they are more often valued for their looks than their brains and ability,</w:t>
      </w:r>
      <w:r w:rsidRPr="00D122D3">
        <w:rPr>
          <w:rFonts w:ascii="Arial" w:hAnsi="Arial" w:cs="Arial"/>
          <w:vertAlign w:val="superscript"/>
        </w:rPr>
        <w:footnoteReference w:id="45"/>
      </w:r>
      <w:r w:rsidRPr="00D122D3">
        <w:rPr>
          <w:rFonts w:ascii="Arial" w:hAnsi="Arial" w:cs="Arial"/>
        </w:rPr>
        <w:t xml:space="preserve"> girls and young women internalise the view that their appearance is the measure of their self-worth, and this is constantly reinforced by media and advertising, as well as by family and friends. </w:t>
      </w:r>
    </w:p>
    <w:p w14:paraId="3CB0D03F" w14:textId="3FAE03C5" w:rsidR="00D122D3" w:rsidRPr="00D122D3" w:rsidRDefault="00D122D3" w:rsidP="00791A96">
      <w:pPr>
        <w:spacing w:after="120" w:line="276" w:lineRule="auto"/>
        <w:jc w:val="both"/>
        <w:rPr>
          <w:rFonts w:ascii="Arial" w:eastAsiaTheme="minorEastAsia" w:hAnsi="Arial" w:cs="Arial"/>
        </w:rPr>
      </w:pPr>
      <w:r w:rsidRPr="00D122D3">
        <w:rPr>
          <w:rFonts w:ascii="Arial" w:hAnsi="Arial" w:cs="Arial"/>
        </w:rPr>
        <w:t>Media and advertising play a highly influential role in reinforcing idealised and unrealistic beauty standards, particularly for young women.</w:t>
      </w:r>
      <w:r w:rsidRPr="00D122D3">
        <w:rPr>
          <w:vertAlign w:val="superscript"/>
        </w:rPr>
        <w:footnoteReference w:id="46"/>
      </w:r>
      <w:r w:rsidRPr="00D122D3">
        <w:rPr>
          <w:rFonts w:ascii="Arial" w:hAnsi="Arial" w:cs="Arial"/>
        </w:rPr>
        <w:t xml:space="preserve"> There is substantial evidence that advertising and other mass media contribute to body dissatisfaction.</w:t>
      </w:r>
      <w:r w:rsidRPr="00D122D3">
        <w:t xml:space="preserve"> </w:t>
      </w:r>
      <w:r w:rsidRPr="00D122D3">
        <w:rPr>
          <w:rFonts w:ascii="Arial" w:hAnsi="Arial" w:cs="Arial"/>
        </w:rPr>
        <w:t>Advertising constructs female success as being based on physical attractiveness, by relying on limiting, unrealistic images of women’s bodies and by linking women’s power to their sexual desirability to men.</w:t>
      </w:r>
      <w:r w:rsidRPr="00D122D3">
        <w:rPr>
          <w:rFonts w:ascii="Arial" w:hAnsi="Arial" w:cs="Arial"/>
          <w:vertAlign w:val="superscript"/>
        </w:rPr>
        <w:footnoteReference w:id="47"/>
      </w:r>
      <w:r w:rsidRPr="00D122D3">
        <w:rPr>
          <w:rFonts w:ascii="Arial" w:hAnsi="Arial" w:cs="Arial"/>
        </w:rPr>
        <w:t xml:space="preserve"> </w:t>
      </w:r>
      <w:r w:rsidRPr="00D122D3">
        <w:rPr>
          <w:rFonts w:ascii="Arial" w:hAnsi="Arial" w:cs="Arial"/>
        </w:rPr>
        <w:lastRenderedPageBreak/>
        <w:t>Girls as young as 6-9 years of age who are exposed to sexualised images via television and magazines experience increased body dissatisfaction.</w:t>
      </w:r>
      <w:r w:rsidRPr="00D122D3">
        <w:rPr>
          <w:rFonts w:ascii="Arial" w:hAnsi="Arial" w:cs="Arial"/>
          <w:vertAlign w:val="superscript"/>
        </w:rPr>
        <w:footnoteReference w:id="48"/>
      </w:r>
    </w:p>
    <w:p w14:paraId="6631D16F" w14:textId="1CD805DB" w:rsidR="00D122D3" w:rsidRPr="00D122D3" w:rsidRDefault="00D122D3" w:rsidP="00791A96">
      <w:pPr>
        <w:spacing w:after="120" w:line="276" w:lineRule="auto"/>
        <w:jc w:val="both"/>
        <w:rPr>
          <w:rFonts w:ascii="Arial" w:hAnsi="Arial" w:cs="Arial"/>
          <w:b/>
        </w:rPr>
      </w:pPr>
      <w:r w:rsidRPr="00D122D3">
        <w:rPr>
          <w:rFonts w:ascii="Arial" w:eastAsiaTheme="minorEastAsia" w:hAnsi="Arial" w:cs="Arial"/>
        </w:rPr>
        <w:t>Body dissatisfaction often emerges during childhood and peaks in adolescence when young women are ‘acutely attuned’ to their body weight and shape.</w:t>
      </w:r>
      <w:r w:rsidRPr="00D122D3">
        <w:rPr>
          <w:rFonts w:ascii="Arial" w:eastAsiaTheme="minorEastAsia" w:hAnsi="Arial" w:cs="Arial"/>
          <w:vertAlign w:val="superscript"/>
        </w:rPr>
        <w:footnoteReference w:id="49"/>
      </w:r>
      <w:r w:rsidRPr="00D122D3">
        <w:rPr>
          <w:rFonts w:ascii="Arial" w:eastAsiaTheme="minorEastAsia" w:hAnsi="Arial" w:cs="Arial"/>
        </w:rPr>
        <w:t xml:space="preserve"> Girls may engage in self-objectification, a process of internalising a third-person view of their bodies as the main way to think about themselves.</w:t>
      </w:r>
      <w:r w:rsidRPr="00D122D3">
        <w:rPr>
          <w:rFonts w:ascii="Arial" w:eastAsiaTheme="minorEastAsia" w:hAnsi="Arial" w:cs="Arial"/>
          <w:vertAlign w:val="superscript"/>
        </w:rPr>
        <w:footnoteReference w:id="50"/>
      </w:r>
      <w:r w:rsidRPr="00D122D3">
        <w:rPr>
          <w:rFonts w:ascii="Arial" w:eastAsiaTheme="minorEastAsia" w:hAnsi="Arial" w:cs="Arial"/>
        </w:rPr>
        <w:t xml:space="preserve"> This process has significant consequences for young women’s health, including increased feelings of anxiety and shame.</w:t>
      </w:r>
      <w:r w:rsidRPr="00D122D3">
        <w:rPr>
          <w:rFonts w:ascii="Arial" w:eastAsiaTheme="minorEastAsia" w:hAnsi="Arial" w:cs="Arial"/>
          <w:vertAlign w:val="superscript"/>
        </w:rPr>
        <w:footnoteReference w:id="51"/>
      </w:r>
      <w:r w:rsidRPr="00D122D3">
        <w:rPr>
          <w:rFonts w:ascii="Arial" w:eastAsiaTheme="minorEastAsia" w:hAnsi="Arial" w:cs="Arial"/>
        </w:rPr>
        <w:t xml:space="preserve"> </w:t>
      </w:r>
      <w:r w:rsidRPr="00D122D3">
        <w:rPr>
          <w:rFonts w:ascii="Arial" w:hAnsi="Arial" w:cs="Arial"/>
          <w:shd w:val="clear" w:color="auto" w:fill="FFFFFF"/>
        </w:rPr>
        <w:t xml:space="preserve">The </w:t>
      </w:r>
      <w:r w:rsidR="00A57F5C">
        <w:rPr>
          <w:rFonts w:ascii="Arial" w:hAnsi="Arial" w:cs="Arial"/>
          <w:shd w:val="clear" w:color="auto" w:fill="FFFFFF"/>
        </w:rPr>
        <w:t xml:space="preserve">sexualisation and </w:t>
      </w:r>
      <w:r w:rsidRPr="00D122D3">
        <w:rPr>
          <w:rFonts w:ascii="Arial" w:hAnsi="Arial" w:cs="Arial"/>
          <w:shd w:val="clear" w:color="auto" w:fill="FFFFFF"/>
        </w:rPr>
        <w:t xml:space="preserve">objectification of young women </w:t>
      </w:r>
      <w:r w:rsidR="00A57F5C">
        <w:rPr>
          <w:rFonts w:ascii="Arial" w:hAnsi="Arial" w:cs="Arial"/>
          <w:shd w:val="clear" w:color="auto" w:fill="FFFFFF"/>
        </w:rPr>
        <w:t xml:space="preserve">also leads to them being considered to have lower mental capacity and lower moral status, and </w:t>
      </w:r>
      <w:r w:rsidRPr="00D122D3">
        <w:rPr>
          <w:rFonts w:ascii="Arial" w:hAnsi="Arial" w:cs="Arial"/>
          <w:shd w:val="clear" w:color="auto" w:fill="FFFFFF"/>
        </w:rPr>
        <w:t>is also associated with less sympathetic responses to girls who experience bullying</w:t>
      </w:r>
      <w:r w:rsidR="00A57F5C">
        <w:rPr>
          <w:rFonts w:ascii="Arial" w:hAnsi="Arial" w:cs="Arial"/>
          <w:shd w:val="clear" w:color="auto" w:fill="FFFFFF"/>
        </w:rPr>
        <w:t xml:space="preserve"> or other harms</w:t>
      </w:r>
      <w:r w:rsidRPr="00D122D3">
        <w:rPr>
          <w:rFonts w:ascii="Arial" w:hAnsi="Arial" w:cs="Arial"/>
          <w:shd w:val="clear" w:color="auto" w:fill="FFFFFF"/>
        </w:rPr>
        <w:t>.</w:t>
      </w:r>
      <w:r w:rsidR="00A57F5C">
        <w:rPr>
          <w:rStyle w:val="FootnoteReference"/>
          <w:rFonts w:ascii="Arial" w:hAnsi="Arial" w:cs="Arial"/>
          <w:shd w:val="clear" w:color="auto" w:fill="FFFFFF"/>
        </w:rPr>
        <w:footnoteReference w:id="52"/>
      </w:r>
      <w:r w:rsidRPr="00D122D3">
        <w:rPr>
          <w:rFonts w:ascii="Arial" w:hAnsi="Arial" w:cs="Arial"/>
          <w:shd w:val="clear" w:color="auto" w:fill="FFFFFF"/>
        </w:rPr>
        <w:t xml:space="preserve"> </w:t>
      </w:r>
    </w:p>
    <w:p w14:paraId="203C7348" w14:textId="77777777" w:rsidR="00D122D3" w:rsidRPr="00D122D3" w:rsidRDefault="00D122D3" w:rsidP="00791A96">
      <w:pPr>
        <w:spacing w:after="120" w:line="276" w:lineRule="auto"/>
        <w:jc w:val="both"/>
        <w:rPr>
          <w:rFonts w:ascii="Arial" w:hAnsi="Arial" w:cs="Arial"/>
        </w:rPr>
      </w:pPr>
      <w:r w:rsidRPr="00D122D3">
        <w:rPr>
          <w:rFonts w:ascii="Arial" w:hAnsi="Arial" w:cs="Arial"/>
        </w:rPr>
        <w:t>Appearance pressures permeate our whole society, and young women absorb this from family and friends. For example, when mothers talk frequently about their own weight, shape, or size, this is linked to lower self-worth and higher depressive symptoms among their daughters.</w:t>
      </w:r>
      <w:r w:rsidRPr="00D122D3">
        <w:rPr>
          <w:rFonts w:ascii="Arial" w:hAnsi="Arial" w:cs="Arial"/>
          <w:vertAlign w:val="superscript"/>
        </w:rPr>
        <w:footnoteReference w:id="53"/>
      </w:r>
      <w:r w:rsidRPr="00D122D3">
        <w:rPr>
          <w:rFonts w:ascii="Arial" w:hAnsi="Arial" w:cs="Arial"/>
          <w:vertAlign w:val="superscript"/>
        </w:rPr>
        <w:t xml:space="preserve"> </w:t>
      </w:r>
      <w:r w:rsidRPr="00D122D3">
        <w:rPr>
          <w:rFonts w:ascii="Arial" w:hAnsi="Arial" w:cs="Arial"/>
        </w:rPr>
        <w:t>Body dissatisfaction is also higher when a teenager’s friends talk a lot about weight loss strategies, make comparisons, or convey the importance of thinness and appearance for someone to be socially acceptable.</w:t>
      </w:r>
      <w:r w:rsidRPr="00D122D3">
        <w:rPr>
          <w:rFonts w:ascii="Arial" w:hAnsi="Arial" w:cs="Arial"/>
          <w:vertAlign w:val="superscript"/>
        </w:rPr>
        <w:footnoteReference w:id="54"/>
      </w:r>
      <w:r w:rsidRPr="00D122D3">
        <w:rPr>
          <w:rFonts w:ascii="Arial" w:hAnsi="Arial" w:cs="Arial"/>
        </w:rPr>
        <w:t xml:space="preserve"> </w:t>
      </w:r>
    </w:p>
    <w:p w14:paraId="4A1F5078" w14:textId="77777777" w:rsidR="00D122D3" w:rsidRPr="00D122D3" w:rsidRDefault="00D122D3" w:rsidP="00791A96">
      <w:pPr>
        <w:spacing w:after="120" w:line="276" w:lineRule="auto"/>
        <w:jc w:val="both"/>
        <w:rPr>
          <w:rFonts w:ascii="Arial" w:hAnsi="Arial" w:cs="Arial"/>
        </w:rPr>
      </w:pPr>
      <w:r w:rsidRPr="00D122D3">
        <w:rPr>
          <w:rFonts w:ascii="Arial" w:hAnsi="Arial" w:cs="Arial"/>
        </w:rPr>
        <w:t>The ideal beauty standard is also a stereotypically feminine and heterosexual one – and young women who express their physical image in ways which are seen as masculine or gender non-conforming can be treated with hostility.</w:t>
      </w:r>
      <w:r w:rsidRPr="00D122D3">
        <w:rPr>
          <w:rFonts w:ascii="Arial" w:hAnsi="Arial" w:cs="Arial"/>
          <w:vertAlign w:val="superscript"/>
        </w:rPr>
        <w:footnoteReference w:id="55"/>
      </w:r>
    </w:p>
    <w:p w14:paraId="2E5EF817" w14:textId="77777777" w:rsidR="00D122D3" w:rsidRPr="00D122D3" w:rsidRDefault="00D122D3" w:rsidP="000239E1">
      <w:pPr>
        <w:shd w:val="clear" w:color="auto" w:fill="B9FAFF"/>
        <w:spacing w:after="120" w:line="276" w:lineRule="auto"/>
        <w:jc w:val="both"/>
        <w:rPr>
          <w:rFonts w:ascii="Arial" w:eastAsia="Times New Roman" w:hAnsi="Arial" w:cs="Arial"/>
          <w:b/>
          <w:bCs/>
          <w:lang w:eastAsia="en-AU"/>
        </w:rPr>
      </w:pPr>
      <w:r w:rsidRPr="00D122D3">
        <w:rPr>
          <w:rFonts w:ascii="Arial" w:eastAsia="Times New Roman" w:hAnsi="Arial" w:cs="Arial"/>
          <w:b/>
          <w:bCs/>
          <w:lang w:eastAsia="en-AU"/>
        </w:rPr>
        <w:t>What works to address poor body image for girls and young women?</w:t>
      </w:r>
    </w:p>
    <w:p w14:paraId="0C6064CC" w14:textId="77777777" w:rsidR="00D122D3" w:rsidRPr="00D122D3" w:rsidRDefault="00D122D3" w:rsidP="000239E1">
      <w:pPr>
        <w:shd w:val="clear" w:color="auto" w:fill="B9FAFF"/>
        <w:spacing w:after="120" w:line="276" w:lineRule="auto"/>
        <w:jc w:val="both"/>
        <w:rPr>
          <w:rFonts w:ascii="Arial" w:eastAsia="Times New Roman" w:hAnsi="Arial" w:cs="Arial"/>
          <w:lang w:eastAsia="en-AU"/>
        </w:rPr>
      </w:pPr>
      <w:r w:rsidRPr="00D122D3">
        <w:rPr>
          <w:rFonts w:ascii="Arial" w:eastAsia="Times New Roman" w:hAnsi="Arial" w:cs="Arial"/>
          <w:lang w:eastAsia="en-AU"/>
        </w:rPr>
        <w:t>Research shows that interventions that focus on promoting self-esteem and positive body image for young women and girls —starting just before the onset of puberty at age 8 or 9 years– are amongst the most promising for supporting positive body image in young women.</w:t>
      </w:r>
      <w:r w:rsidRPr="00D122D3">
        <w:rPr>
          <w:rFonts w:ascii="Arial" w:eastAsia="Times New Roman" w:hAnsi="Arial" w:cs="Arial"/>
          <w:vertAlign w:val="superscript"/>
          <w:lang w:eastAsia="en-AU"/>
        </w:rPr>
        <w:footnoteReference w:id="56"/>
      </w:r>
    </w:p>
    <w:p w14:paraId="6907A2CD" w14:textId="77777777" w:rsidR="00D122D3" w:rsidRPr="00D122D3" w:rsidRDefault="00D122D3" w:rsidP="000239E1">
      <w:pPr>
        <w:shd w:val="clear" w:color="auto" w:fill="B9FAFF"/>
        <w:spacing w:after="120" w:line="276" w:lineRule="auto"/>
        <w:jc w:val="both"/>
        <w:rPr>
          <w:rFonts w:ascii="Arial" w:eastAsia="Times New Roman" w:hAnsi="Arial" w:cs="Arial"/>
          <w:lang w:eastAsia="en-AU"/>
        </w:rPr>
      </w:pPr>
      <w:r w:rsidRPr="00D122D3">
        <w:rPr>
          <w:rFonts w:ascii="Arial" w:eastAsia="Times New Roman" w:hAnsi="Arial" w:cs="Arial"/>
          <w:lang w:eastAsia="en-AU"/>
        </w:rPr>
        <w:t xml:space="preserve">A New South Wales study found that young people who saw family, strong friendships and achievements as centrally important in their lives were buffered from viewing body image as </w:t>
      </w:r>
      <w:r w:rsidRPr="00D122D3">
        <w:rPr>
          <w:rFonts w:ascii="Arial" w:eastAsia="Times New Roman" w:hAnsi="Arial" w:cs="Arial"/>
          <w:lang w:eastAsia="en-AU"/>
        </w:rPr>
        <w:lastRenderedPageBreak/>
        <w:t>the critical factor that determined their self-worth.</w:t>
      </w:r>
      <w:r w:rsidRPr="00D122D3">
        <w:rPr>
          <w:rFonts w:ascii="Arial" w:eastAsia="Times New Roman" w:hAnsi="Arial" w:cs="Arial"/>
          <w:vertAlign w:val="superscript"/>
          <w:lang w:eastAsia="en-AU"/>
        </w:rPr>
        <w:footnoteReference w:id="57"/>
      </w:r>
      <w:r w:rsidRPr="00D122D3">
        <w:rPr>
          <w:rFonts w:ascii="Arial" w:eastAsia="Times New Roman" w:hAnsi="Arial" w:cs="Arial"/>
          <w:lang w:eastAsia="en-AU"/>
        </w:rPr>
        <w:t xml:space="preserve"> This suggests that the strongest protective factors for body image are associated with an integrated view of wellbeing that is validated by the people and world around us.</w:t>
      </w:r>
    </w:p>
    <w:p w14:paraId="64FD7141" w14:textId="77777777" w:rsidR="00D122D3" w:rsidRPr="00D122D3" w:rsidRDefault="00D122D3" w:rsidP="000239E1">
      <w:pPr>
        <w:shd w:val="clear" w:color="auto" w:fill="B9FAFF"/>
        <w:spacing w:after="120" w:line="276" w:lineRule="auto"/>
        <w:jc w:val="both"/>
        <w:rPr>
          <w:rFonts w:ascii="Arial" w:eastAsia="Times New Roman" w:hAnsi="Arial" w:cs="Arial"/>
          <w:lang w:eastAsia="en-AU"/>
        </w:rPr>
      </w:pPr>
      <w:r w:rsidRPr="00D122D3">
        <w:rPr>
          <w:rFonts w:ascii="Arial" w:eastAsia="Times New Roman" w:hAnsi="Arial" w:cs="Arial"/>
          <w:lang w:eastAsia="en-AU"/>
        </w:rPr>
        <w:t xml:space="preserve">The same study found </w:t>
      </w:r>
      <w:bookmarkStart w:id="12" w:name="_Hlk55993550"/>
      <w:r w:rsidRPr="00D122D3">
        <w:rPr>
          <w:rFonts w:ascii="Arial" w:eastAsia="Times New Roman" w:hAnsi="Arial" w:cs="Arial"/>
          <w:lang w:eastAsia="en-AU"/>
        </w:rPr>
        <w:t>that Indigenous participants were politicised around issues to do with Aboriginality and discrimination and this acted as a protective factor in shaping the way they experienced body image pressures.</w:t>
      </w:r>
      <w:bookmarkEnd w:id="12"/>
      <w:r w:rsidRPr="00D122D3">
        <w:rPr>
          <w:rFonts w:ascii="Arial" w:eastAsia="Times New Roman" w:hAnsi="Arial" w:cs="Arial"/>
          <w:vertAlign w:val="superscript"/>
          <w:lang w:eastAsia="en-AU"/>
        </w:rPr>
        <w:footnoteReference w:id="58"/>
      </w:r>
      <w:r w:rsidRPr="00D122D3">
        <w:rPr>
          <w:rFonts w:ascii="Arial" w:eastAsia="Times New Roman" w:hAnsi="Arial" w:cs="Arial"/>
          <w:lang w:eastAsia="en-AU"/>
        </w:rPr>
        <w:t xml:space="preserve"> Participants were conscious of mainstream adherence to culturally narrow perceptions of beauty and were quick to identify with African-American culture and role models from Aboriginal and Torres Strait Islander communities.</w:t>
      </w:r>
      <w:r w:rsidRPr="00D122D3">
        <w:rPr>
          <w:rFonts w:ascii="Arial" w:eastAsia="Times New Roman" w:hAnsi="Arial" w:cs="Arial"/>
          <w:vertAlign w:val="superscript"/>
          <w:lang w:eastAsia="en-AU"/>
        </w:rPr>
        <w:footnoteReference w:id="59"/>
      </w:r>
    </w:p>
    <w:p w14:paraId="1B858636" w14:textId="77777777" w:rsidR="00B3212C" w:rsidRPr="00D122D3" w:rsidRDefault="00B3212C" w:rsidP="000239E1">
      <w:pPr>
        <w:shd w:val="clear" w:color="auto" w:fill="B9FAFF"/>
        <w:spacing w:after="120" w:line="276" w:lineRule="auto"/>
        <w:rPr>
          <w:rFonts w:ascii="Arial" w:eastAsia="Calibri" w:hAnsi="Arial" w:cs="Arial"/>
          <w:b/>
          <w:bCs/>
        </w:rPr>
      </w:pPr>
      <w:r w:rsidRPr="00D122D3">
        <w:rPr>
          <w:rFonts w:ascii="Arial" w:eastAsia="Calibri" w:hAnsi="Arial" w:cs="Arial"/>
          <w:b/>
          <w:bCs/>
        </w:rPr>
        <w:t xml:space="preserve">Case study: Happy Being Me </w:t>
      </w:r>
    </w:p>
    <w:p w14:paraId="1E8632E7" w14:textId="1D1ED9A6" w:rsidR="00D122D3" w:rsidRPr="00A57F5C" w:rsidRDefault="00B3212C" w:rsidP="000239E1">
      <w:pPr>
        <w:shd w:val="clear" w:color="auto" w:fill="B9FAFF"/>
        <w:spacing w:after="120" w:line="276" w:lineRule="auto"/>
        <w:jc w:val="both"/>
        <w:rPr>
          <w:rFonts w:ascii="Arial" w:eastAsia="Calibri" w:hAnsi="Arial" w:cs="Arial"/>
        </w:rPr>
      </w:pPr>
      <w:r w:rsidRPr="009B4C1E">
        <w:rPr>
          <w:rFonts w:ascii="Arial" w:eastAsia="Calibri" w:hAnsi="Arial" w:cs="Arial"/>
          <w:i/>
          <w:iCs/>
        </w:rPr>
        <w:t>Happy Being Me</w:t>
      </w:r>
      <w:r w:rsidRPr="00D122D3">
        <w:rPr>
          <w:rFonts w:ascii="Arial" w:eastAsia="Calibri" w:hAnsi="Arial" w:cs="Arial"/>
        </w:rPr>
        <w:t xml:space="preserve"> is a three-session classroom prevention intervention for girls aged 11 to 14 years. This program was</w:t>
      </w:r>
      <w:r w:rsidR="009E1A9A">
        <w:rPr>
          <w:rFonts w:ascii="Arial" w:eastAsia="Calibri" w:hAnsi="Arial" w:cs="Arial"/>
        </w:rPr>
        <w:t xml:space="preserve"> delivered to five schools in Melbourne and </w:t>
      </w:r>
      <w:r w:rsidRPr="00D122D3">
        <w:rPr>
          <w:rFonts w:ascii="Arial" w:eastAsia="Calibri" w:hAnsi="Arial" w:cs="Arial"/>
        </w:rPr>
        <w:t>developed to reduce body dissatisfaction, desire to obtain the thin body type portrayed as ideal by the media, peer interactions that contribute to body dissatisfaction, and body comparison tendency. An evaluation of this program found significant improvements in body dissatisfaction and psychological risk factors post intervention and at six-month follow-up, compared to those who did not participate in the program.</w:t>
      </w:r>
      <w:r w:rsidRPr="00D122D3">
        <w:rPr>
          <w:rFonts w:ascii="Arial" w:eastAsia="Calibri" w:hAnsi="Arial" w:cs="Arial"/>
          <w:vertAlign w:val="superscript"/>
        </w:rPr>
        <w:footnoteReference w:id="60"/>
      </w:r>
      <w:r w:rsidRPr="00D122D3">
        <w:rPr>
          <w:rFonts w:ascii="Arial" w:eastAsia="Calibri" w:hAnsi="Arial" w:cs="Arial"/>
        </w:rPr>
        <w:t xml:space="preserve"> </w:t>
      </w:r>
    </w:p>
    <w:p w14:paraId="1C3C6A17" w14:textId="77777777" w:rsidR="00A57F5C" w:rsidRDefault="00D122D3" w:rsidP="00791A96">
      <w:pPr>
        <w:spacing w:after="120" w:line="276" w:lineRule="auto"/>
        <w:jc w:val="both"/>
        <w:rPr>
          <w:rFonts w:ascii="Arial" w:hAnsi="Arial" w:cs="Arial"/>
          <w:shd w:val="clear" w:color="auto" w:fill="FFFFFF"/>
        </w:rPr>
      </w:pPr>
      <w:r w:rsidRPr="00D122D3">
        <w:rPr>
          <w:rFonts w:ascii="Arial" w:hAnsi="Arial" w:cs="Arial"/>
          <w:shd w:val="clear" w:color="auto" w:fill="FFFFFF"/>
        </w:rPr>
        <w:t xml:space="preserve">To address poor body image, WHV recommends investing in initiatives that support gender equality and promote an integrated view of a young woman’s value and worth, reducing the importance placed on young women’s appearance both by the community and by young women themselves. </w:t>
      </w:r>
    </w:p>
    <w:p w14:paraId="215E6D15" w14:textId="77777777" w:rsidR="00C46C68" w:rsidRDefault="00D122D3" w:rsidP="00791A96">
      <w:pPr>
        <w:spacing w:after="120" w:line="276" w:lineRule="auto"/>
        <w:jc w:val="both"/>
        <w:rPr>
          <w:rFonts w:ascii="Arial" w:hAnsi="Arial" w:cs="Arial"/>
        </w:rPr>
      </w:pPr>
      <w:r w:rsidRPr="00D122D3">
        <w:rPr>
          <w:rFonts w:ascii="Arial" w:hAnsi="Arial" w:cs="Arial"/>
          <w:shd w:val="clear" w:color="auto" w:fill="FFFFFF"/>
        </w:rPr>
        <w:t xml:space="preserve">Challenging </w:t>
      </w:r>
      <w:r w:rsidRPr="00D122D3">
        <w:rPr>
          <w:rFonts w:ascii="Arial" w:hAnsi="Arial" w:cs="Arial"/>
        </w:rPr>
        <w:t>the sexualisation and objectification of young women and girls at the societal</w:t>
      </w:r>
      <w:r w:rsidRPr="00D122D3">
        <w:rPr>
          <w:rFonts w:ascii="Arial" w:hAnsi="Arial" w:cs="Arial"/>
          <w:b/>
          <w:bCs/>
        </w:rPr>
        <w:t xml:space="preserve"> </w:t>
      </w:r>
      <w:r w:rsidRPr="00D122D3">
        <w:rPr>
          <w:rFonts w:ascii="Arial" w:hAnsi="Arial" w:cs="Arial"/>
        </w:rPr>
        <w:t>level</w:t>
      </w:r>
      <w:r w:rsidRPr="00D122D3">
        <w:rPr>
          <w:rFonts w:ascii="Arial" w:hAnsi="Arial" w:cs="Arial"/>
          <w:b/>
          <w:bCs/>
        </w:rPr>
        <w:t xml:space="preserve"> </w:t>
      </w:r>
      <w:r w:rsidRPr="00D122D3">
        <w:rPr>
          <w:rFonts w:ascii="Arial" w:hAnsi="Arial" w:cs="Arial"/>
        </w:rPr>
        <w:t>also</w:t>
      </w:r>
      <w:r w:rsidRPr="00D122D3">
        <w:rPr>
          <w:rFonts w:ascii="Arial" w:hAnsi="Arial" w:cs="Arial"/>
          <w:b/>
          <w:bCs/>
        </w:rPr>
        <w:t xml:space="preserve"> </w:t>
      </w:r>
      <w:r w:rsidRPr="00D122D3">
        <w:rPr>
          <w:rFonts w:ascii="Arial" w:hAnsi="Arial" w:cs="Arial"/>
        </w:rPr>
        <w:t>has the potential to improve young women’s body image, increase their physical activity, and improve their mental and emotional wellbeing, sexual experiences, and relationships.</w:t>
      </w:r>
      <w:r w:rsidRPr="00D122D3">
        <w:rPr>
          <w:rFonts w:ascii="Arial" w:hAnsi="Arial" w:cs="Arial"/>
          <w:vertAlign w:val="superscript"/>
        </w:rPr>
        <w:footnoteReference w:id="61"/>
      </w:r>
      <w:r w:rsidRPr="00D122D3">
        <w:rPr>
          <w:rFonts w:ascii="Arial" w:hAnsi="Arial" w:cs="Arial"/>
        </w:rPr>
        <w:t xml:space="preserve"> </w:t>
      </w:r>
    </w:p>
    <w:p w14:paraId="69EEC232" w14:textId="658D67AA" w:rsidR="00D122D3" w:rsidRPr="00D122D3" w:rsidRDefault="00D122D3" w:rsidP="00791A96">
      <w:pPr>
        <w:spacing w:after="120" w:line="276" w:lineRule="auto"/>
        <w:jc w:val="both"/>
        <w:rPr>
          <w:rFonts w:ascii="Arial" w:hAnsi="Arial" w:cs="Arial"/>
          <w:vertAlign w:val="superscript"/>
        </w:rPr>
      </w:pPr>
      <w:r w:rsidRPr="00D122D3">
        <w:rPr>
          <w:rFonts w:ascii="Arial" w:hAnsi="Arial" w:cs="Arial"/>
          <w:shd w:val="clear" w:color="auto" w:fill="FFFFFF"/>
        </w:rPr>
        <w:t xml:space="preserve">Efforts to promote more diverse and authentic representations of young women in media and advertising, for example through WHV’s </w:t>
      </w:r>
      <w:hyperlink r:id="rId31" w:history="1">
        <w:r w:rsidRPr="00C46C68">
          <w:rPr>
            <w:rStyle w:val="Hyperlink"/>
            <w:rFonts w:ascii="Arial" w:hAnsi="Arial" w:cs="Arial"/>
            <w:shd w:val="clear" w:color="auto" w:fill="FFFFFF"/>
          </w:rPr>
          <w:t>Gender Equality in Advertising project</w:t>
        </w:r>
      </w:hyperlink>
      <w:r w:rsidRPr="00D122D3">
        <w:rPr>
          <w:rFonts w:ascii="Arial" w:hAnsi="Arial" w:cs="Arial"/>
          <w:shd w:val="clear" w:color="auto" w:fill="FFFFFF"/>
        </w:rPr>
        <w:t>, should be scaled up. Parents, teachers and health professionals also need to be equipped with skills to promote self-esteem and shift emphasis away from young women’s appearance.</w:t>
      </w:r>
    </w:p>
    <w:p w14:paraId="079CF479" w14:textId="5CB675FA" w:rsidR="00D122D3" w:rsidRPr="00D122D3" w:rsidRDefault="00D122D3" w:rsidP="00791A96">
      <w:pPr>
        <w:spacing w:after="120" w:line="276" w:lineRule="auto"/>
        <w:jc w:val="both"/>
        <w:rPr>
          <w:rFonts w:ascii="Arial" w:hAnsi="Arial" w:cs="Arial"/>
          <w:color w:val="ED7D31" w:themeColor="accent2"/>
          <w:sz w:val="24"/>
          <w:szCs w:val="24"/>
        </w:rPr>
      </w:pPr>
      <w:bookmarkStart w:id="13" w:name="_Toc57983224"/>
      <w:r w:rsidRPr="00D122D3">
        <w:rPr>
          <w:rFonts w:ascii="Arial" w:hAnsi="Arial" w:cs="Arial"/>
          <w:color w:val="ED7D31" w:themeColor="accent2"/>
          <w:sz w:val="24"/>
          <w:szCs w:val="24"/>
        </w:rPr>
        <w:t>Anxiety and depression</w:t>
      </w:r>
      <w:bookmarkEnd w:id="13"/>
      <w:r w:rsidRPr="00D122D3">
        <w:rPr>
          <w:rFonts w:ascii="Arial" w:hAnsi="Arial" w:cs="Arial"/>
          <w:color w:val="ED7D31" w:themeColor="accent2"/>
          <w:sz w:val="24"/>
          <w:szCs w:val="24"/>
        </w:rPr>
        <w:t xml:space="preserve"> </w:t>
      </w:r>
    </w:p>
    <w:p w14:paraId="2B5B868C" w14:textId="77777777" w:rsidR="00D122D3" w:rsidRPr="00D122D3" w:rsidRDefault="00D122D3" w:rsidP="00791A96">
      <w:pPr>
        <w:spacing w:after="120" w:line="276" w:lineRule="auto"/>
        <w:jc w:val="both"/>
        <w:rPr>
          <w:rFonts w:ascii="Arial" w:hAnsi="Arial" w:cs="Arial"/>
        </w:rPr>
      </w:pPr>
      <w:r w:rsidRPr="00D122D3">
        <w:rPr>
          <w:rFonts w:ascii="Arial" w:hAnsi="Arial" w:cs="Arial"/>
        </w:rPr>
        <w:t>Rates of depression, anxiety and psychological distress are on the rise among young women in Australia and internationally.</w:t>
      </w:r>
      <w:r w:rsidRPr="00D122D3">
        <w:rPr>
          <w:rFonts w:ascii="Arial" w:hAnsi="Arial" w:cs="Arial"/>
          <w:vertAlign w:val="superscript"/>
        </w:rPr>
        <w:footnoteReference w:id="62"/>
      </w:r>
      <w:r w:rsidRPr="00D122D3">
        <w:rPr>
          <w:rFonts w:ascii="Arial" w:hAnsi="Arial" w:cs="Arial"/>
        </w:rPr>
        <w:t xml:space="preserve"> Gender inequality is a contributing factor to women’s anxiety </w:t>
      </w:r>
      <w:r w:rsidRPr="00D122D3">
        <w:rPr>
          <w:rFonts w:ascii="Arial" w:hAnsi="Arial" w:cs="Arial"/>
        </w:rPr>
        <w:lastRenderedPageBreak/>
        <w:t xml:space="preserve">and depression and needs to be factored into any response to improve young people’s mental health. </w:t>
      </w:r>
    </w:p>
    <w:p w14:paraId="7145725D" w14:textId="77777777" w:rsidR="00D122D3" w:rsidRPr="00D122D3" w:rsidRDefault="00D122D3" w:rsidP="00791A96">
      <w:pPr>
        <w:spacing w:after="120" w:line="276" w:lineRule="auto"/>
        <w:jc w:val="both"/>
        <w:rPr>
          <w:rFonts w:ascii="Arial" w:hAnsi="Arial" w:cs="Arial"/>
        </w:rPr>
      </w:pPr>
      <w:r w:rsidRPr="00D122D3">
        <w:rPr>
          <w:rFonts w:ascii="Arial" w:hAnsi="Arial" w:cs="Arial"/>
        </w:rPr>
        <w:t>Anxiety disorders are the leading contributor to the burden of disease in Australian girls and women aged five to 44.</w:t>
      </w:r>
      <w:r w:rsidRPr="00D122D3">
        <w:rPr>
          <w:rFonts w:ascii="Arial" w:hAnsi="Arial" w:cs="Arial"/>
          <w:vertAlign w:val="superscript"/>
        </w:rPr>
        <w:footnoteReference w:id="63"/>
      </w:r>
      <w:r w:rsidRPr="00D122D3">
        <w:rPr>
          <w:rFonts w:ascii="Arial" w:hAnsi="Arial" w:cs="Arial"/>
        </w:rPr>
        <w:t xml:space="preserve"> The Australian Longitudinal Study on Women’s Health has found that about a third of young women have been diagnosed with or treated for either depression or anxiety.</w:t>
      </w:r>
      <w:r w:rsidRPr="00D122D3">
        <w:rPr>
          <w:rFonts w:ascii="Arial" w:hAnsi="Arial" w:cs="Arial"/>
          <w:vertAlign w:val="superscript"/>
        </w:rPr>
        <w:footnoteReference w:id="64"/>
      </w:r>
      <w:r w:rsidRPr="00D122D3">
        <w:rPr>
          <w:rFonts w:ascii="Arial" w:hAnsi="Arial" w:cs="Arial"/>
        </w:rPr>
        <w:t xml:space="preserve"> W</w:t>
      </w:r>
      <w:r w:rsidRPr="00D122D3">
        <w:rPr>
          <w:rFonts w:ascii="Arial" w:hAnsi="Arial" w:cs="Arial"/>
          <w:shd w:val="clear" w:color="auto" w:fill="FFFFFF"/>
        </w:rPr>
        <w:t>omen aged 15-24 years are twice as likely to report having an anxiety-related condition as young men (18.9% compared with 7.9%).</w:t>
      </w:r>
      <w:r w:rsidRPr="00D122D3">
        <w:rPr>
          <w:rFonts w:ascii="Arial" w:hAnsi="Arial" w:cs="Arial"/>
          <w:shd w:val="clear" w:color="auto" w:fill="FFFFFF"/>
          <w:vertAlign w:val="superscript"/>
        </w:rPr>
        <w:footnoteReference w:id="65"/>
      </w:r>
      <w:r w:rsidRPr="00D122D3">
        <w:rPr>
          <w:rFonts w:ascii="Arial" w:hAnsi="Arial" w:cs="Arial"/>
          <w:shd w:val="clear" w:color="auto" w:fill="FFFFFF"/>
        </w:rPr>
        <w:t xml:space="preserve"> S</w:t>
      </w:r>
      <w:r w:rsidRPr="00D122D3">
        <w:rPr>
          <w:rFonts w:ascii="Arial" w:hAnsi="Arial" w:cs="Arial"/>
        </w:rPr>
        <w:t xml:space="preserve">ymptoms often first appear during late adolescence and early adulthood. </w:t>
      </w:r>
    </w:p>
    <w:p w14:paraId="10413AE5" w14:textId="5F66E92C" w:rsidR="00D122D3" w:rsidRPr="00D122D3" w:rsidRDefault="00D15459" w:rsidP="00791A96">
      <w:pPr>
        <w:spacing w:after="120" w:line="276" w:lineRule="auto"/>
        <w:jc w:val="both"/>
        <w:rPr>
          <w:rFonts w:ascii="Arial" w:hAnsi="Arial" w:cs="Arial"/>
        </w:rPr>
      </w:pPr>
      <w:r>
        <w:rPr>
          <w:rFonts w:ascii="Arial" w:hAnsi="Arial" w:cs="Arial"/>
        </w:rPr>
        <w:t xml:space="preserve">According to 2015 ABS data, </w:t>
      </w:r>
      <w:r w:rsidRPr="00D122D3">
        <w:rPr>
          <w:rFonts w:ascii="Arial" w:hAnsi="Arial" w:cs="Arial"/>
        </w:rPr>
        <w:t xml:space="preserve">10.5% </w:t>
      </w:r>
      <w:r>
        <w:rPr>
          <w:rFonts w:ascii="Arial" w:hAnsi="Arial" w:cs="Arial"/>
        </w:rPr>
        <w:t xml:space="preserve">of young Australian women aged 15-24 </w:t>
      </w:r>
      <w:r w:rsidRPr="00D122D3">
        <w:rPr>
          <w:rFonts w:ascii="Arial" w:hAnsi="Arial" w:cs="Arial"/>
        </w:rPr>
        <w:t>report</w:t>
      </w:r>
      <w:r>
        <w:rPr>
          <w:rFonts w:ascii="Arial" w:hAnsi="Arial" w:cs="Arial"/>
        </w:rPr>
        <w:t>ed</w:t>
      </w:r>
      <w:r w:rsidRPr="00D122D3">
        <w:rPr>
          <w:rFonts w:ascii="Arial" w:hAnsi="Arial" w:cs="Arial"/>
        </w:rPr>
        <w:t xml:space="preserve"> depression or feelings of depression, compared to 5.6% of their male counterparts.</w:t>
      </w:r>
      <w:r w:rsidRPr="00D122D3">
        <w:rPr>
          <w:rFonts w:ascii="Arial" w:hAnsi="Arial" w:cs="Arial"/>
          <w:vertAlign w:val="superscript"/>
        </w:rPr>
        <w:footnoteReference w:id="66"/>
      </w:r>
      <w:r w:rsidRPr="00D122D3">
        <w:rPr>
          <w:rFonts w:ascii="Arial" w:hAnsi="Arial" w:cs="Arial"/>
        </w:rPr>
        <w:t xml:space="preserve"> </w:t>
      </w:r>
      <w:r w:rsidR="00D122D3" w:rsidRPr="00D122D3">
        <w:rPr>
          <w:rFonts w:ascii="Arial" w:hAnsi="Arial" w:cs="Arial"/>
        </w:rPr>
        <w:t>The 2019 HILDA survey found that 20.1</w:t>
      </w:r>
      <w:r>
        <w:rPr>
          <w:rFonts w:ascii="Arial" w:hAnsi="Arial" w:cs="Arial"/>
        </w:rPr>
        <w:t>%</w:t>
      </w:r>
      <w:r w:rsidR="00D122D3" w:rsidRPr="00D122D3">
        <w:rPr>
          <w:rFonts w:ascii="Arial" w:hAnsi="Arial" w:cs="Arial"/>
        </w:rPr>
        <w:t xml:space="preserve"> of women aged between 15 and 34 are suffering from diagnosed depression and anxiety, up from 12.8</w:t>
      </w:r>
      <w:r>
        <w:rPr>
          <w:rFonts w:ascii="Arial" w:hAnsi="Arial" w:cs="Arial"/>
        </w:rPr>
        <w:t>%</w:t>
      </w:r>
      <w:r w:rsidR="00D122D3" w:rsidRPr="00D122D3">
        <w:rPr>
          <w:rFonts w:ascii="Arial" w:hAnsi="Arial" w:cs="Arial"/>
        </w:rPr>
        <w:t xml:space="preserve"> in 2009.</w:t>
      </w:r>
      <w:r w:rsidR="00D122D3" w:rsidRPr="00D122D3">
        <w:rPr>
          <w:rFonts w:ascii="Arial" w:hAnsi="Arial" w:cs="Arial"/>
          <w:vertAlign w:val="superscript"/>
        </w:rPr>
        <w:footnoteReference w:id="67"/>
      </w:r>
    </w:p>
    <w:p w14:paraId="317D2641" w14:textId="77777777" w:rsidR="00D122D3" w:rsidRPr="00D122D3" w:rsidRDefault="00D122D3" w:rsidP="00791A96">
      <w:pPr>
        <w:spacing w:after="120" w:line="276" w:lineRule="auto"/>
        <w:jc w:val="both"/>
        <w:rPr>
          <w:rFonts w:ascii="Arial" w:hAnsi="Arial" w:cs="Arial"/>
        </w:rPr>
      </w:pPr>
      <w:r w:rsidRPr="00D122D3">
        <w:rPr>
          <w:rFonts w:ascii="Arial" w:hAnsi="Arial" w:cs="Arial"/>
        </w:rPr>
        <w:t>Twice as many</w:t>
      </w:r>
      <w:r w:rsidRPr="00D122D3">
        <w:rPr>
          <w:rFonts w:ascii="Arial" w:hAnsi="Arial" w:cs="Arial"/>
          <w:b/>
          <w:bCs/>
        </w:rPr>
        <w:t xml:space="preserve"> </w:t>
      </w:r>
      <w:r w:rsidRPr="00D122D3">
        <w:rPr>
          <w:rFonts w:ascii="Arial" w:hAnsi="Arial" w:cs="Arial"/>
        </w:rPr>
        <w:t>rural adolescent girls</w:t>
      </w:r>
      <w:r w:rsidRPr="00D122D3">
        <w:rPr>
          <w:rFonts w:ascii="Arial" w:hAnsi="Arial" w:cs="Arial"/>
          <w:b/>
          <w:bCs/>
        </w:rPr>
        <w:t xml:space="preserve"> </w:t>
      </w:r>
      <w:r w:rsidRPr="00D122D3">
        <w:rPr>
          <w:rFonts w:ascii="Arial" w:hAnsi="Arial" w:cs="Arial"/>
        </w:rPr>
        <w:t>report depressive symptoms compared to their male counterparts.</w:t>
      </w:r>
      <w:r w:rsidRPr="00D122D3">
        <w:rPr>
          <w:rFonts w:ascii="Arial" w:hAnsi="Arial" w:cs="Arial"/>
          <w:vertAlign w:val="superscript"/>
        </w:rPr>
        <w:footnoteReference w:id="68"/>
      </w:r>
      <w:r w:rsidRPr="00D122D3">
        <w:rPr>
          <w:rFonts w:ascii="Arial" w:hAnsi="Arial" w:cs="Arial"/>
        </w:rPr>
        <w:t xml:space="preserve"> This is exacerbated by a lack of mental health services including insufficient access to comprehensive mental health programs; stigma around mental health which is more pronounced in smaller communities; and a lack of transport options.</w:t>
      </w:r>
      <w:r w:rsidRPr="00D122D3">
        <w:rPr>
          <w:rFonts w:ascii="Arial" w:hAnsi="Arial" w:cs="Arial"/>
          <w:vertAlign w:val="superscript"/>
        </w:rPr>
        <w:t xml:space="preserve"> </w:t>
      </w:r>
      <w:r w:rsidRPr="00D122D3">
        <w:rPr>
          <w:rFonts w:ascii="Arial" w:hAnsi="Arial" w:cs="Arial"/>
          <w:vertAlign w:val="superscript"/>
        </w:rPr>
        <w:footnoteReference w:id="69"/>
      </w:r>
    </w:p>
    <w:p w14:paraId="293154E5" w14:textId="77777777" w:rsidR="00D122D3" w:rsidRPr="00D122D3" w:rsidRDefault="00D122D3" w:rsidP="00791A96">
      <w:pPr>
        <w:spacing w:after="120" w:line="276" w:lineRule="auto"/>
        <w:jc w:val="both"/>
        <w:rPr>
          <w:rFonts w:ascii="Arial" w:hAnsi="Arial" w:cs="Arial"/>
        </w:rPr>
      </w:pPr>
      <w:r w:rsidRPr="00D122D3">
        <w:rPr>
          <w:rFonts w:ascii="Arial" w:hAnsi="Arial" w:cs="Arial"/>
        </w:rPr>
        <w:t>This steep increase in depression and anxiety has been attributed to increased sexualisation and objectification of girls and young women, as well as exposure to social media and increased pressure on school performance.</w:t>
      </w:r>
      <w:r w:rsidRPr="00D122D3">
        <w:rPr>
          <w:rFonts w:ascii="Arial" w:hAnsi="Arial" w:cs="Arial"/>
          <w:vertAlign w:val="superscript"/>
        </w:rPr>
        <w:footnoteReference w:id="70"/>
      </w:r>
      <w:r w:rsidRPr="00D122D3">
        <w:rPr>
          <w:rFonts w:ascii="Arial" w:hAnsi="Arial" w:cs="Arial"/>
        </w:rPr>
        <w:t xml:space="preserve"> Sleeping difficulties have been found to precede the development of anxiety and depression in young women.</w:t>
      </w:r>
      <w:r w:rsidRPr="00D122D3">
        <w:rPr>
          <w:rFonts w:ascii="Arial" w:hAnsi="Arial" w:cs="Arial"/>
          <w:vertAlign w:val="superscript"/>
        </w:rPr>
        <w:footnoteReference w:id="71"/>
      </w:r>
      <w:r w:rsidRPr="00D122D3">
        <w:rPr>
          <w:rFonts w:ascii="Arial" w:hAnsi="Arial" w:cs="Arial"/>
        </w:rPr>
        <w:t xml:space="preserve"> Low socioeconomic status is also associated with anxiety disorders.</w:t>
      </w:r>
      <w:r w:rsidRPr="00D122D3">
        <w:rPr>
          <w:rFonts w:ascii="Arial" w:hAnsi="Arial" w:cs="Arial"/>
          <w:vertAlign w:val="superscript"/>
        </w:rPr>
        <w:footnoteReference w:id="72"/>
      </w:r>
      <w:r w:rsidRPr="00D122D3">
        <w:rPr>
          <w:rFonts w:ascii="Arial" w:hAnsi="Arial" w:cs="Arial"/>
        </w:rPr>
        <w:t xml:space="preserve"> </w:t>
      </w:r>
    </w:p>
    <w:p w14:paraId="6492A164" w14:textId="77777777" w:rsidR="00D122D3" w:rsidRPr="00D122D3" w:rsidRDefault="00D122D3" w:rsidP="00791A96">
      <w:pPr>
        <w:spacing w:after="120" w:line="276" w:lineRule="auto"/>
        <w:jc w:val="both"/>
        <w:rPr>
          <w:rFonts w:ascii="Arial" w:hAnsi="Arial" w:cs="Arial"/>
        </w:rPr>
      </w:pPr>
      <w:r w:rsidRPr="00D122D3">
        <w:rPr>
          <w:rFonts w:ascii="Arial" w:hAnsi="Arial" w:cs="Arial"/>
        </w:rPr>
        <w:t xml:space="preserve">Addressing social factors such as poverty, exposure to violence and other stressors, provides the greatest opportunity for anxiety prevention. For example, women who experience </w:t>
      </w:r>
      <w:r w:rsidRPr="00D122D3">
        <w:rPr>
          <w:rFonts w:ascii="Arial" w:hAnsi="Arial" w:cs="Arial"/>
        </w:rPr>
        <w:lastRenderedPageBreak/>
        <w:t>domestic violence are four times more likely to develop anxiety.</w:t>
      </w:r>
      <w:r w:rsidRPr="00D122D3">
        <w:rPr>
          <w:rFonts w:ascii="Arial" w:hAnsi="Arial" w:cs="Arial"/>
          <w:vertAlign w:val="superscript"/>
        </w:rPr>
        <w:footnoteReference w:id="73"/>
      </w:r>
      <w:r w:rsidRPr="00D122D3">
        <w:rPr>
          <w:rFonts w:ascii="Arial" w:hAnsi="Arial" w:cs="Arial"/>
        </w:rPr>
        <w:t xml:space="preserve"> Youth mental health services women must also take an intersectional gender-sensitive approach and be attentive to the range of factors that impact young women’s mental health, not limited to but including gendered expectations and pressures.</w:t>
      </w:r>
    </w:p>
    <w:p w14:paraId="68466F1D" w14:textId="77777777" w:rsidR="00D122D3" w:rsidRPr="00D122D3" w:rsidRDefault="00D122D3" w:rsidP="00791A96">
      <w:pPr>
        <w:spacing w:after="120" w:line="276" w:lineRule="auto"/>
        <w:jc w:val="both"/>
        <w:rPr>
          <w:rFonts w:ascii="Arial" w:hAnsi="Arial" w:cs="Arial"/>
          <w:color w:val="ED7D31" w:themeColor="accent2"/>
          <w:sz w:val="24"/>
          <w:szCs w:val="24"/>
        </w:rPr>
      </w:pPr>
      <w:bookmarkStart w:id="17" w:name="_Toc57983225"/>
      <w:r w:rsidRPr="00D122D3">
        <w:rPr>
          <w:rFonts w:ascii="Arial" w:hAnsi="Arial" w:cs="Arial"/>
          <w:color w:val="ED7D31" w:themeColor="accent2"/>
          <w:sz w:val="24"/>
          <w:szCs w:val="24"/>
        </w:rPr>
        <w:t>Self-harm and suicidal behaviours</w:t>
      </w:r>
      <w:bookmarkEnd w:id="17"/>
    </w:p>
    <w:p w14:paraId="71219A0D" w14:textId="77777777" w:rsidR="00D122D3" w:rsidRPr="00D122D3" w:rsidRDefault="00D122D3" w:rsidP="00791A96">
      <w:pPr>
        <w:spacing w:after="120" w:line="276" w:lineRule="auto"/>
        <w:jc w:val="both"/>
        <w:rPr>
          <w:rFonts w:ascii="Arial" w:hAnsi="Arial" w:cs="Arial"/>
        </w:rPr>
      </w:pPr>
      <w:r w:rsidRPr="00D122D3">
        <w:rPr>
          <w:rFonts w:ascii="Arial" w:hAnsi="Arial" w:cs="Arial"/>
        </w:rPr>
        <w:t xml:space="preserve">Despite high rates of suicide, self-harm and suicidal behaviours among young women, there is limited investment in gender-sensitive strategies aimed at reducing suicide and suicidal behaviours among young women. </w:t>
      </w:r>
    </w:p>
    <w:p w14:paraId="311FE1DB" w14:textId="28050F1F" w:rsidR="00D122D3" w:rsidRPr="00D122D3" w:rsidRDefault="00D122D3" w:rsidP="00791A96">
      <w:pPr>
        <w:spacing w:after="120" w:line="276" w:lineRule="auto"/>
        <w:rPr>
          <w:rFonts w:ascii="Arial" w:hAnsi="Arial" w:cs="Arial"/>
        </w:rPr>
      </w:pPr>
      <w:r w:rsidRPr="00D122D3">
        <w:rPr>
          <w:rFonts w:ascii="Arial" w:hAnsi="Arial" w:cs="Arial"/>
        </w:rPr>
        <w:t>Suicide is the leading cause of death for young women aged 15-24.</w:t>
      </w:r>
      <w:r w:rsidRPr="00D122D3">
        <w:rPr>
          <w:rFonts w:ascii="Arial" w:hAnsi="Arial" w:cs="Arial"/>
          <w:b/>
          <w:bCs/>
          <w:vertAlign w:val="superscript"/>
        </w:rPr>
        <w:footnoteReference w:id="74"/>
      </w:r>
      <w:r w:rsidRPr="00D122D3">
        <w:rPr>
          <w:rFonts w:ascii="Arial" w:hAnsi="Arial" w:cs="Arial"/>
        </w:rPr>
        <w:t xml:space="preserve"> </w:t>
      </w:r>
      <w:bookmarkStart w:id="18" w:name="_Hlk58424062"/>
      <w:bookmarkStart w:id="19" w:name="_Hlk58505623"/>
      <w:r w:rsidRPr="00D122D3">
        <w:rPr>
          <w:rFonts w:ascii="Arial" w:hAnsi="Arial" w:cs="Arial"/>
        </w:rPr>
        <w:t xml:space="preserve">A 2020 report by the Australian Institute of Health and Welfare and Flinders University shows that suicide rates in adolescent females have risen the most sharply of any age group. The suicide rate for </w:t>
      </w:r>
      <w:proofErr w:type="gramStart"/>
      <w:r w:rsidRPr="00D122D3">
        <w:rPr>
          <w:rFonts w:ascii="Arial" w:hAnsi="Arial" w:cs="Arial"/>
        </w:rPr>
        <w:t>15-19 year old</w:t>
      </w:r>
      <w:proofErr w:type="gramEnd"/>
      <w:r w:rsidRPr="00D122D3">
        <w:rPr>
          <w:rFonts w:ascii="Arial" w:hAnsi="Arial" w:cs="Arial"/>
        </w:rPr>
        <w:t xml:space="preserve"> females born between 1999-2003 is 1.8 times higher than for the cohort born in 1954-58 (6.4 per 100,000 compared with 3.6 per 100,000).</w:t>
      </w:r>
      <w:r w:rsidRPr="00D122D3">
        <w:rPr>
          <w:rFonts w:ascii="Arial" w:hAnsi="Arial" w:cs="Arial"/>
          <w:b/>
          <w:bCs/>
          <w:vertAlign w:val="superscript"/>
        </w:rPr>
        <w:footnoteReference w:id="75"/>
      </w:r>
      <w:bookmarkEnd w:id="18"/>
      <w:bookmarkEnd w:id="19"/>
    </w:p>
    <w:p w14:paraId="2F284F39" w14:textId="7F459EDE" w:rsidR="00D122D3" w:rsidRPr="00D122D3" w:rsidRDefault="00D122D3" w:rsidP="00791A96">
      <w:pPr>
        <w:spacing w:after="120" w:line="276" w:lineRule="auto"/>
        <w:jc w:val="both"/>
        <w:rPr>
          <w:rFonts w:ascii="Arial" w:hAnsi="Arial" w:cs="Arial"/>
        </w:rPr>
      </w:pPr>
      <w:r w:rsidRPr="00D122D3">
        <w:rPr>
          <w:rFonts w:ascii="Arial" w:hAnsi="Arial" w:cs="Arial"/>
        </w:rPr>
        <w:t>Further, nearly 1 in 3 girls aged 16-17 have self-harmed.</w:t>
      </w:r>
      <w:r w:rsidRPr="00D122D3">
        <w:rPr>
          <w:rFonts w:ascii="Arial" w:hAnsi="Arial" w:cs="Arial"/>
          <w:vertAlign w:val="superscript"/>
        </w:rPr>
        <w:footnoteReference w:id="76"/>
      </w:r>
      <w:r w:rsidRPr="00D122D3">
        <w:rPr>
          <w:rFonts w:ascii="Arial" w:hAnsi="Arial" w:cs="Arial"/>
        </w:rPr>
        <w:t xml:space="preserve"> In 2016-17, young women aged 15-19 accounted for the largest age-specific rates of hospitalised self-injury cases, nearly four times the rate</w:t>
      </w:r>
      <w:r w:rsidR="00D15459">
        <w:rPr>
          <w:rFonts w:ascii="Arial" w:hAnsi="Arial" w:cs="Arial"/>
        </w:rPr>
        <w:t xml:space="preserve"> of</w:t>
      </w:r>
      <w:r w:rsidRPr="00D122D3">
        <w:rPr>
          <w:rFonts w:ascii="Arial" w:hAnsi="Arial" w:cs="Arial"/>
        </w:rPr>
        <w:t xml:space="preserve"> their male counterparts.</w:t>
      </w:r>
      <w:r w:rsidRPr="00D122D3">
        <w:rPr>
          <w:rFonts w:ascii="Arial" w:hAnsi="Arial" w:cs="Arial"/>
          <w:vertAlign w:val="superscript"/>
        </w:rPr>
        <w:footnoteReference w:id="77"/>
      </w:r>
      <w:r w:rsidRPr="00D122D3">
        <w:rPr>
          <w:rFonts w:ascii="Arial" w:hAnsi="Arial" w:cs="Arial"/>
        </w:rPr>
        <w:t xml:space="preserve"> The number of </w:t>
      </w:r>
      <w:r w:rsidR="00B3021E">
        <w:rPr>
          <w:rFonts w:ascii="Arial" w:hAnsi="Arial" w:cs="Arial"/>
        </w:rPr>
        <w:t xml:space="preserve">Australian </w:t>
      </w:r>
      <w:r w:rsidRPr="00D122D3">
        <w:rPr>
          <w:rFonts w:ascii="Arial" w:hAnsi="Arial" w:cs="Arial"/>
        </w:rPr>
        <w:t>women aged 15-24 years who injure themselves so severely that they require hospital treatment has increased by more than 50% between 2000 and 2016.</w:t>
      </w:r>
      <w:r w:rsidRPr="00CD4E0A">
        <w:rPr>
          <w:rFonts w:ascii="Arial" w:hAnsi="Arial" w:cs="Arial"/>
          <w:vertAlign w:val="superscript"/>
        </w:rPr>
        <w:footnoteReference w:id="78"/>
      </w:r>
      <w:r w:rsidRPr="00CD4E0A">
        <w:rPr>
          <w:rFonts w:ascii="Arial" w:hAnsi="Arial" w:cs="Arial"/>
        </w:rPr>
        <w:t xml:space="preserve"> </w:t>
      </w:r>
      <w:r w:rsidRPr="00D122D3">
        <w:rPr>
          <w:rFonts w:ascii="Arial" w:hAnsi="Arial" w:cs="Arial"/>
        </w:rPr>
        <w:t>Aboriginal and Torres Strait Islander women are hospitalised for self-harm at twice the rate of non-Aboriginal women and hospitalisation rates generally increase with level of disadvantage and degree of remoteness.</w:t>
      </w:r>
      <w:r w:rsidRPr="00D122D3">
        <w:rPr>
          <w:rFonts w:ascii="Arial" w:hAnsi="Arial" w:cs="Arial"/>
          <w:vertAlign w:val="superscript"/>
        </w:rPr>
        <w:footnoteReference w:id="79"/>
      </w:r>
      <w:r w:rsidRPr="00D122D3">
        <w:rPr>
          <w:rFonts w:ascii="Arial" w:hAnsi="Arial" w:cs="Arial"/>
        </w:rPr>
        <w:t xml:space="preserve"> Transgender youth also have high rates of self-harm.</w:t>
      </w:r>
      <w:r w:rsidRPr="00D122D3">
        <w:rPr>
          <w:rFonts w:ascii="Arial" w:hAnsi="Arial" w:cs="Arial"/>
          <w:vertAlign w:val="superscript"/>
        </w:rPr>
        <w:footnoteReference w:id="80"/>
      </w:r>
      <w:r w:rsidRPr="00D122D3">
        <w:rPr>
          <w:rFonts w:ascii="Arial" w:hAnsi="Arial" w:cs="Arial"/>
        </w:rPr>
        <w:t xml:space="preserve"> Young people who are same-sex attracted, bisexual, or unsure of their sexuality are at greater risk of self-harm than heterosexual teens.</w:t>
      </w:r>
      <w:r w:rsidRPr="00D122D3">
        <w:rPr>
          <w:rFonts w:ascii="Arial" w:hAnsi="Arial" w:cs="Arial"/>
          <w:vertAlign w:val="superscript"/>
        </w:rPr>
        <w:t xml:space="preserve"> </w:t>
      </w:r>
      <w:r w:rsidRPr="00D122D3">
        <w:rPr>
          <w:rFonts w:ascii="Arial" w:hAnsi="Arial" w:cs="Arial"/>
          <w:vertAlign w:val="superscript"/>
        </w:rPr>
        <w:footnoteReference w:id="81"/>
      </w:r>
      <w:r w:rsidRPr="00D122D3">
        <w:rPr>
          <w:rFonts w:ascii="Arial" w:hAnsi="Arial" w:cs="Arial"/>
          <w:vertAlign w:val="superscript"/>
        </w:rPr>
        <w:t xml:space="preserve"> </w:t>
      </w:r>
      <w:r w:rsidRPr="00D122D3">
        <w:rPr>
          <w:rFonts w:ascii="Arial" w:hAnsi="Arial" w:cs="Arial"/>
        </w:rPr>
        <w:t xml:space="preserve">As not all episodes of self-harm end in hospitalisation, the true prevalence of self-harm among young women is likely higher. </w:t>
      </w:r>
    </w:p>
    <w:p w14:paraId="38740E2E" w14:textId="0939C199" w:rsidR="00D122D3" w:rsidRPr="00D122D3" w:rsidRDefault="00D122D3" w:rsidP="00791A96">
      <w:pPr>
        <w:spacing w:after="120" w:line="276" w:lineRule="auto"/>
        <w:jc w:val="both"/>
        <w:rPr>
          <w:rFonts w:ascii="Arial" w:hAnsi="Arial" w:cs="Arial"/>
          <w:shd w:val="clear" w:color="auto" w:fill="FFFFFF"/>
        </w:rPr>
      </w:pPr>
      <w:r w:rsidRPr="00D122D3">
        <w:rPr>
          <w:rFonts w:ascii="Arial" w:hAnsi="Arial" w:cs="Arial"/>
        </w:rPr>
        <w:t>Mental health experts have warned that the growing suicide risk for young women in Australia is not being taken seriously enough.</w:t>
      </w:r>
      <w:r w:rsidRPr="00D122D3">
        <w:rPr>
          <w:rFonts w:ascii="Arial" w:hAnsi="Arial" w:cs="Arial"/>
          <w:vertAlign w:val="superscript"/>
        </w:rPr>
        <w:footnoteReference w:id="82"/>
      </w:r>
      <w:r w:rsidRPr="00D122D3">
        <w:rPr>
          <w:rFonts w:ascii="Arial" w:hAnsi="Arial" w:cs="Arial"/>
        </w:rPr>
        <w:t xml:space="preserve"> </w:t>
      </w:r>
      <w:proofErr w:type="spellStart"/>
      <w:r w:rsidRPr="00D122D3">
        <w:rPr>
          <w:rFonts w:ascii="Arial" w:hAnsi="Arial" w:cs="Arial"/>
        </w:rPr>
        <w:t>Orygen’s</w:t>
      </w:r>
      <w:proofErr w:type="spellEnd"/>
      <w:r w:rsidRPr="00D122D3">
        <w:rPr>
          <w:rFonts w:ascii="Arial" w:hAnsi="Arial" w:cs="Arial"/>
        </w:rPr>
        <w:t xml:space="preserve"> survey of youth self-harm </w:t>
      </w:r>
      <w:r w:rsidR="00D15459" w:rsidRPr="00D122D3">
        <w:rPr>
          <w:rFonts w:ascii="Arial" w:hAnsi="Arial" w:cs="Arial"/>
        </w:rPr>
        <w:t xml:space="preserve">emergency </w:t>
      </w:r>
      <w:r w:rsidRPr="00D122D3">
        <w:rPr>
          <w:rFonts w:ascii="Arial" w:hAnsi="Arial" w:cs="Arial"/>
        </w:rPr>
        <w:lastRenderedPageBreak/>
        <w:t xml:space="preserve">presentations found that young women come away feeling worse than </w:t>
      </w:r>
      <w:r w:rsidR="00D15459">
        <w:rPr>
          <w:rFonts w:ascii="Arial" w:hAnsi="Arial" w:cs="Arial"/>
        </w:rPr>
        <w:t>before</w:t>
      </w:r>
      <w:r w:rsidRPr="00D122D3">
        <w:rPr>
          <w:rFonts w:ascii="Arial" w:hAnsi="Arial" w:cs="Arial"/>
        </w:rPr>
        <w:t xml:space="preserve"> they accessed </w:t>
      </w:r>
      <w:r w:rsidR="00D15459">
        <w:rPr>
          <w:rFonts w:ascii="Arial" w:hAnsi="Arial" w:cs="Arial"/>
        </w:rPr>
        <w:t>the</w:t>
      </w:r>
      <w:r w:rsidRPr="00D122D3">
        <w:rPr>
          <w:rFonts w:ascii="Arial" w:hAnsi="Arial" w:cs="Arial"/>
        </w:rPr>
        <w:t xml:space="preserve"> service.</w:t>
      </w:r>
      <w:r w:rsidRPr="00D122D3">
        <w:rPr>
          <w:rFonts w:ascii="Arial" w:hAnsi="Arial" w:cs="Arial"/>
          <w:vertAlign w:val="superscript"/>
        </w:rPr>
        <w:footnoteReference w:id="83"/>
      </w:r>
      <w:r w:rsidRPr="00D122D3">
        <w:rPr>
          <w:rFonts w:ascii="Arial" w:hAnsi="Arial" w:cs="Arial"/>
        </w:rPr>
        <w:t xml:space="preserve"> Suicidal behaviour and self-harm in women can be viewed by family, health professionals and the community as attention-seeking, manipulative and non-serious, which can negatively influence how young women are treated.</w:t>
      </w:r>
      <w:r w:rsidRPr="00D122D3">
        <w:rPr>
          <w:rFonts w:ascii="Arial" w:hAnsi="Arial" w:cs="Arial"/>
          <w:vertAlign w:val="superscript"/>
        </w:rPr>
        <w:footnoteReference w:id="84"/>
      </w:r>
      <w:r w:rsidRPr="00D122D3">
        <w:rPr>
          <w:rFonts w:ascii="Arial" w:hAnsi="Arial" w:cs="Arial"/>
        </w:rPr>
        <w:t xml:space="preserve"> This indicates a need for gender-sensitivity training for mental health workforces that addresses harmful attitudes and gender stereotypes, as well as gender-sensitive, non-judgemental mental health </w:t>
      </w:r>
      <w:r w:rsidRPr="00D122D3">
        <w:rPr>
          <w:rFonts w:ascii="Arial" w:hAnsi="Arial" w:cs="Arial"/>
          <w:shd w:val="clear" w:color="auto" w:fill="FFFFFF"/>
        </w:rPr>
        <w:t xml:space="preserve">services for young women. </w:t>
      </w:r>
    </w:p>
    <w:p w14:paraId="5750D7B2" w14:textId="1F942B5D" w:rsidR="00D122D3" w:rsidRPr="00D122D3" w:rsidRDefault="00D122D3" w:rsidP="00791A96">
      <w:pPr>
        <w:spacing w:after="120" w:line="276" w:lineRule="auto"/>
        <w:jc w:val="both"/>
        <w:rPr>
          <w:rFonts w:ascii="Arial" w:hAnsi="Arial" w:cs="Arial"/>
        </w:rPr>
      </w:pPr>
      <w:r w:rsidRPr="00D122D3">
        <w:rPr>
          <w:rFonts w:ascii="Arial" w:hAnsi="Arial" w:cs="Arial"/>
        </w:rPr>
        <w:t xml:space="preserve">Rates of self-harm are high among young women with a mental illness, including depression, anxiety, post-traumatic stress disorder, eating disorders and borderline personality disorder. However, self-harming behaviours are still poorly understood, indicating a need for further research into the reasons </w:t>
      </w:r>
      <w:r w:rsidR="00601AFC">
        <w:rPr>
          <w:rFonts w:ascii="Arial" w:hAnsi="Arial" w:cs="Arial"/>
        </w:rPr>
        <w:t xml:space="preserve">why </w:t>
      </w:r>
      <w:r w:rsidRPr="00D122D3">
        <w:rPr>
          <w:rFonts w:ascii="Arial" w:hAnsi="Arial" w:cs="Arial"/>
        </w:rPr>
        <w:t>women turn to self-harm. Gender-sensitive, trauma-informed and culturally-safe treatment is needed, which includes addressing harmful coping behaviours. Trauma-informed care recognises how socio-cultural factors such as gender inequality, power</w:t>
      </w:r>
      <w:r w:rsidR="00A977B5">
        <w:rPr>
          <w:rFonts w:ascii="Arial" w:hAnsi="Arial" w:cs="Arial"/>
        </w:rPr>
        <w:t xml:space="preserve"> imbalances</w:t>
      </w:r>
      <w:r w:rsidRPr="00D122D3">
        <w:rPr>
          <w:rFonts w:ascii="Arial" w:hAnsi="Arial" w:cs="Arial"/>
        </w:rPr>
        <w:t xml:space="preserve">, colonisation and disenfranchisement give rise to victimisation </w:t>
      </w:r>
      <w:r w:rsidR="00A977B5">
        <w:rPr>
          <w:rFonts w:ascii="Arial" w:hAnsi="Arial" w:cs="Arial"/>
        </w:rPr>
        <w:t xml:space="preserve">and </w:t>
      </w:r>
      <w:r w:rsidRPr="00D122D3">
        <w:rPr>
          <w:rFonts w:ascii="Arial" w:hAnsi="Arial" w:cs="Arial"/>
        </w:rPr>
        <w:t>can present barriers to seeking support.</w:t>
      </w:r>
      <w:r w:rsidRPr="00D122D3">
        <w:rPr>
          <w:rFonts w:ascii="Arial" w:hAnsi="Arial" w:cs="Arial"/>
          <w:vertAlign w:val="superscript"/>
        </w:rPr>
        <w:footnoteReference w:id="85"/>
      </w:r>
    </w:p>
    <w:p w14:paraId="536FB176" w14:textId="30A840DC" w:rsidR="00D122D3" w:rsidRPr="00D122D3" w:rsidRDefault="00D122D3" w:rsidP="00791A96">
      <w:pPr>
        <w:spacing w:after="120" w:line="276" w:lineRule="auto"/>
        <w:jc w:val="both"/>
        <w:rPr>
          <w:rFonts w:ascii="Arial" w:hAnsi="Arial" w:cs="Arial"/>
        </w:rPr>
      </w:pPr>
      <w:r w:rsidRPr="00D122D3">
        <w:rPr>
          <w:rFonts w:ascii="Arial" w:hAnsi="Arial" w:cs="Arial"/>
        </w:rPr>
        <w:t>Connection to country and culture is important to the health of Aboriginal and Torres Strait Islander young women and strengthening this connection is widely considered the key to disrupting cycles of disadvantage.</w:t>
      </w:r>
      <w:r w:rsidRPr="00D122D3">
        <w:rPr>
          <w:rFonts w:ascii="Arial" w:hAnsi="Arial" w:cs="Arial"/>
          <w:vertAlign w:val="superscript"/>
        </w:rPr>
        <w:footnoteReference w:id="86"/>
      </w:r>
      <w:r w:rsidRPr="00D122D3">
        <w:rPr>
          <w:rFonts w:ascii="Arial" w:hAnsi="Arial" w:cs="Arial"/>
        </w:rPr>
        <w:t xml:space="preserve"> Programs to address Aboriginal and Torres Strait Islander mental health and suicide prevention should include community-led programs that focus on strengthening social and emotional wellbeing and cultural renewal.</w:t>
      </w:r>
      <w:r w:rsidRPr="00D122D3">
        <w:rPr>
          <w:rFonts w:ascii="Arial" w:hAnsi="Arial" w:cs="Arial"/>
          <w:vertAlign w:val="superscript"/>
        </w:rPr>
        <w:footnoteReference w:id="87"/>
      </w:r>
    </w:p>
    <w:p w14:paraId="7EF7E7FC" w14:textId="585271B3" w:rsidR="00D122D3" w:rsidRPr="00D122D3" w:rsidRDefault="00D122D3" w:rsidP="00791A96">
      <w:pPr>
        <w:spacing w:after="120" w:line="276" w:lineRule="auto"/>
        <w:jc w:val="both"/>
        <w:rPr>
          <w:rFonts w:ascii="Arial" w:hAnsi="Arial" w:cs="Arial"/>
          <w:color w:val="ED7D31" w:themeColor="accent2"/>
          <w:sz w:val="24"/>
          <w:szCs w:val="24"/>
        </w:rPr>
      </w:pPr>
      <w:bookmarkStart w:id="20" w:name="_Toc57983226"/>
      <w:r w:rsidRPr="00D122D3">
        <w:rPr>
          <w:rFonts w:ascii="Arial" w:hAnsi="Arial" w:cs="Arial"/>
          <w:color w:val="ED7D31" w:themeColor="accent2"/>
          <w:sz w:val="24"/>
          <w:szCs w:val="24"/>
        </w:rPr>
        <w:t>Eating disorders</w:t>
      </w:r>
      <w:bookmarkEnd w:id="20"/>
    </w:p>
    <w:p w14:paraId="078BB2E0" w14:textId="0D19AC01" w:rsidR="00D122D3" w:rsidRPr="00D122D3" w:rsidRDefault="00D122D3" w:rsidP="00791A96">
      <w:pPr>
        <w:spacing w:after="120" w:line="276" w:lineRule="auto"/>
        <w:jc w:val="both"/>
        <w:rPr>
          <w:rFonts w:ascii="Arial" w:hAnsi="Arial" w:cs="Arial"/>
          <w:lang w:val="en-US"/>
        </w:rPr>
      </w:pPr>
      <w:r w:rsidRPr="00D122D3">
        <w:rPr>
          <w:rFonts w:ascii="Arial" w:hAnsi="Arial" w:cs="Arial"/>
          <w:lang w:val="en-US"/>
        </w:rPr>
        <w:t xml:space="preserve">Young women in Australia are at risk of developing disordered eating patterns that affect their health and quality of life. </w:t>
      </w:r>
      <w:r w:rsidRPr="00D122D3">
        <w:rPr>
          <w:rFonts w:ascii="Arial" w:hAnsi="Arial" w:cs="Arial"/>
        </w:rPr>
        <w:t>While eating disorders can occur across all ages, socio-economic groups and genders,</w:t>
      </w:r>
      <w:r w:rsidRPr="00D122D3">
        <w:rPr>
          <w:rFonts w:ascii="Arial" w:hAnsi="Arial" w:cs="Arial"/>
          <w:vertAlign w:val="superscript"/>
        </w:rPr>
        <w:footnoteReference w:id="88"/>
      </w:r>
      <w:r w:rsidRPr="00D122D3">
        <w:rPr>
          <w:rFonts w:ascii="Arial" w:hAnsi="Arial" w:cs="Arial"/>
        </w:rPr>
        <w:t xml:space="preserve"> being female and experiencing puberty are key risk factors for the onset of an eating disorder.</w:t>
      </w:r>
      <w:r w:rsidRPr="00D122D3">
        <w:rPr>
          <w:rFonts w:ascii="Arial" w:hAnsi="Arial" w:cs="Arial"/>
          <w:vertAlign w:val="superscript"/>
        </w:rPr>
        <w:footnoteReference w:id="89"/>
      </w:r>
      <w:r w:rsidRPr="00D122D3">
        <w:rPr>
          <w:rFonts w:ascii="Arial" w:hAnsi="Arial" w:cs="Arial"/>
        </w:rPr>
        <w:t xml:space="preserve"> </w:t>
      </w:r>
      <w:r w:rsidRPr="00D122D3">
        <w:rPr>
          <w:rFonts w:ascii="Arial" w:hAnsi="Arial" w:cs="Arial"/>
          <w:lang w:val="en-US"/>
        </w:rPr>
        <w:t>Eating disorders are the third most common chronic illness in young females.</w:t>
      </w:r>
      <w:r w:rsidRPr="00D122D3">
        <w:rPr>
          <w:rFonts w:ascii="Arial" w:hAnsi="Arial" w:cs="Arial"/>
          <w:vertAlign w:val="superscript"/>
          <w:lang w:val="en-US"/>
        </w:rPr>
        <w:footnoteReference w:id="90"/>
      </w:r>
      <w:r w:rsidRPr="00D122D3">
        <w:rPr>
          <w:rFonts w:ascii="Arial" w:hAnsi="Arial" w:cs="Arial"/>
          <w:lang w:val="en-US"/>
        </w:rPr>
        <w:t xml:space="preserve"> Approximately one in 100 adolescent girls develops anorexia nervosa, and 75</w:t>
      </w:r>
      <w:r w:rsidR="00A977B5">
        <w:rPr>
          <w:rFonts w:ascii="Arial" w:hAnsi="Arial" w:cs="Arial"/>
          <w:lang w:val="en-US"/>
        </w:rPr>
        <w:t xml:space="preserve">% </w:t>
      </w:r>
      <w:r w:rsidRPr="00D122D3">
        <w:rPr>
          <w:rFonts w:ascii="Arial" w:hAnsi="Arial" w:cs="Arial"/>
          <w:lang w:val="en-US"/>
        </w:rPr>
        <w:t xml:space="preserve">of children diagnosed with the condition are female. The mortality rate for people with eating </w:t>
      </w:r>
      <w:r w:rsidRPr="00D122D3">
        <w:rPr>
          <w:rFonts w:ascii="Arial" w:hAnsi="Arial" w:cs="Arial"/>
          <w:lang w:val="en-US"/>
        </w:rPr>
        <w:lastRenderedPageBreak/>
        <w:t>disorders is the highest of all psychiatric illnesses, and over 12 times higher than for people without eating disorders. This includes increased risk of suicide.</w:t>
      </w:r>
      <w:r w:rsidRPr="00D122D3">
        <w:rPr>
          <w:rFonts w:ascii="Arial" w:hAnsi="Arial" w:cs="Arial"/>
          <w:vertAlign w:val="superscript"/>
          <w:lang w:val="en-US"/>
        </w:rPr>
        <w:footnoteReference w:id="91"/>
      </w:r>
    </w:p>
    <w:p w14:paraId="1559E676" w14:textId="77777777" w:rsidR="00D122D3" w:rsidRPr="00D122D3" w:rsidRDefault="00D122D3" w:rsidP="00791A96">
      <w:pPr>
        <w:spacing w:after="120" w:line="276" w:lineRule="auto"/>
        <w:jc w:val="both"/>
        <w:rPr>
          <w:rFonts w:ascii="Arial" w:hAnsi="Arial" w:cs="Arial"/>
          <w:lang w:val="en-US"/>
        </w:rPr>
      </w:pPr>
      <w:r w:rsidRPr="00D122D3">
        <w:rPr>
          <w:rFonts w:ascii="Arial" w:hAnsi="Arial" w:cs="Arial"/>
          <w:lang w:val="en-US"/>
        </w:rPr>
        <w:t>Australian healthy weight adolescent females commonly adopt weight control behaviours such as dieting, skipping meals and inducing vomiting.</w:t>
      </w:r>
      <w:r w:rsidRPr="00D122D3">
        <w:rPr>
          <w:rFonts w:ascii="Arial" w:hAnsi="Arial" w:cs="Arial"/>
          <w:vertAlign w:val="superscript"/>
          <w:lang w:val="en-US"/>
        </w:rPr>
        <w:footnoteReference w:id="92"/>
      </w:r>
      <w:r w:rsidRPr="00D122D3">
        <w:rPr>
          <w:rFonts w:ascii="Arial" w:hAnsi="Arial" w:cs="Arial"/>
          <w:lang w:val="en-US"/>
        </w:rPr>
        <w:t xml:space="preserve"> </w:t>
      </w:r>
      <w:r w:rsidRPr="00D122D3">
        <w:rPr>
          <w:rFonts w:ascii="Arial" w:hAnsi="Arial" w:cs="Arial"/>
          <w:lang w:val="en-US"/>
        </w:rPr>
        <w:fldChar w:fldCharType="begin">
          <w:fldData xml:space="preserve">PEVuZE5vdGU+PENpdGU+PEF1dGhvcj5HdWVzdDwvQXV0aG9yPjxZZWFyPjIwMTA8L1llYXI+PFJl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</w:fldData>
        </w:fldChar>
      </w:r>
      <w:r w:rsidRPr="00D122D3">
        <w:rPr>
          <w:rFonts w:ascii="Arial" w:hAnsi="Arial" w:cs="Arial"/>
          <w:lang w:val="en-US"/>
        </w:rPr>
        <w:instrText xml:space="preserve"> ADDIN EN.CITE </w:instrText>
      </w:r>
      <w:r w:rsidRPr="00D122D3">
        <w:rPr>
          <w:rFonts w:ascii="Arial" w:hAnsi="Arial" w:cs="Arial"/>
          <w:lang w:val="en-US"/>
        </w:rPr>
        <w:fldChar w:fldCharType="begin">
          <w:fldData xml:space="preserve">PEVuZE5vdGU+PENpdGU+PEF1dGhvcj5HdWVzdDwvQXV0aG9yPjxZZWFyPjIwMTA8L1llYXI+PFJl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</w:fldData>
        </w:fldChar>
      </w:r>
      <w:r w:rsidRPr="00D122D3">
        <w:rPr>
          <w:rFonts w:ascii="Arial" w:hAnsi="Arial" w:cs="Arial"/>
          <w:lang w:val="en-US"/>
        </w:rPr>
        <w:instrText xml:space="preserve"> ADDIN EN.CITE.DATA </w:instrText>
      </w:r>
      <w:r w:rsidRPr="00D122D3">
        <w:rPr>
          <w:rFonts w:ascii="Arial" w:hAnsi="Arial" w:cs="Arial"/>
          <w:lang w:val="en-US"/>
        </w:rPr>
      </w:r>
      <w:r w:rsidRPr="00D122D3">
        <w:rPr>
          <w:rFonts w:ascii="Arial" w:hAnsi="Arial" w:cs="Arial"/>
          <w:lang w:val="en-US"/>
        </w:rPr>
        <w:fldChar w:fldCharType="end"/>
      </w:r>
      <w:r w:rsidRPr="00D122D3">
        <w:rPr>
          <w:rFonts w:ascii="Arial" w:hAnsi="Arial" w:cs="Arial"/>
          <w:lang w:val="en-US"/>
        </w:rPr>
      </w:r>
      <w:r w:rsidRPr="00D122D3">
        <w:rPr>
          <w:rFonts w:ascii="Arial" w:hAnsi="Arial" w:cs="Arial"/>
          <w:lang w:val="en-US"/>
        </w:rPr>
        <w:fldChar w:fldCharType="end"/>
      </w:r>
      <w:r w:rsidRPr="00D122D3">
        <w:rPr>
          <w:rFonts w:ascii="Arial" w:hAnsi="Arial" w:cs="Arial"/>
          <w:lang w:val="en-US"/>
        </w:rPr>
        <w:t>The Australian Longitudinal Study on Women’s Health measured the impact of disordered eating on women with a mean age of 24 years over a period of 12 years. This research found that even apparently minor symptoms are associated with significant and far-reaching deficits in well-being.</w:t>
      </w:r>
      <w:r w:rsidRPr="00D122D3">
        <w:rPr>
          <w:rFonts w:ascii="Arial" w:hAnsi="Arial" w:cs="Arial"/>
          <w:vertAlign w:val="superscript"/>
          <w:lang w:val="en-US"/>
        </w:rPr>
        <w:footnoteReference w:id="93"/>
      </w:r>
    </w:p>
    <w:p w14:paraId="34EB015A" w14:textId="77777777" w:rsidR="00D122D3" w:rsidRPr="00D122D3" w:rsidRDefault="00D122D3" w:rsidP="00791A96">
      <w:pPr>
        <w:spacing w:after="120" w:line="276" w:lineRule="auto"/>
        <w:jc w:val="both"/>
        <w:rPr>
          <w:rFonts w:ascii="Arial" w:hAnsi="Arial" w:cs="Arial"/>
        </w:rPr>
      </w:pPr>
      <w:r w:rsidRPr="00D122D3">
        <w:rPr>
          <w:rFonts w:ascii="Arial" w:hAnsi="Arial" w:cs="Arial"/>
        </w:rPr>
        <w:t>Modifiable risk factors for eating disorders include low self-esteem, body dissatisfaction, internalisation of the thin socio-cultural ideal and disordered eating and dieting.</w:t>
      </w:r>
      <w:r w:rsidRPr="00D122D3">
        <w:rPr>
          <w:rFonts w:ascii="Arial" w:hAnsi="Arial" w:cs="Arial"/>
          <w:vertAlign w:val="superscript"/>
        </w:rPr>
        <w:footnoteReference w:id="94"/>
      </w:r>
      <w:r w:rsidRPr="00D122D3">
        <w:rPr>
          <w:rFonts w:ascii="Arial" w:hAnsi="Arial" w:cs="Arial"/>
        </w:rPr>
        <w:t xml:space="preserve"> The Butterfly Foundation also reports that in multicultural communities, prolonged exposure to Western ideals of shape and size can lead to low self-esteem and increased risk of developing an eating disorder.</w:t>
      </w:r>
      <w:r w:rsidRPr="00D122D3">
        <w:rPr>
          <w:rFonts w:ascii="Arial" w:hAnsi="Arial" w:cs="Arial"/>
          <w:vertAlign w:val="superscript"/>
        </w:rPr>
        <w:footnoteReference w:id="95"/>
      </w:r>
    </w:p>
    <w:p w14:paraId="369FB449" w14:textId="5BEC19B1" w:rsidR="00D122D3" w:rsidRPr="00D122D3" w:rsidRDefault="00D122D3" w:rsidP="00791A96">
      <w:pPr>
        <w:spacing w:after="120" w:line="276" w:lineRule="auto"/>
        <w:jc w:val="both"/>
        <w:rPr>
          <w:rFonts w:ascii="Arial" w:hAnsi="Arial" w:cs="Arial"/>
        </w:rPr>
      </w:pPr>
      <w:r w:rsidRPr="00D122D3">
        <w:rPr>
          <w:rFonts w:ascii="Arial" w:hAnsi="Arial" w:cs="Arial"/>
          <w:lang w:val="en-US"/>
        </w:rPr>
        <w:t>Accessing treatment early reduces the severity, duration and impact of an eating disorder.</w:t>
      </w:r>
      <w:r w:rsidRPr="00D122D3">
        <w:rPr>
          <w:rFonts w:ascii="Arial" w:hAnsi="Arial" w:cs="Arial"/>
          <w:vertAlign w:val="superscript"/>
          <w:lang w:val="en-US"/>
        </w:rPr>
        <w:footnoteReference w:id="96"/>
      </w:r>
      <w:r w:rsidRPr="00D122D3">
        <w:rPr>
          <w:rFonts w:ascii="Arial" w:hAnsi="Arial" w:cs="Arial"/>
          <w:lang w:val="en-US"/>
        </w:rPr>
        <w:t xml:space="preserve"> Eating disorders often co-occur with depression and/or anxiety, and it is essential that co-occurring mental health conditions are addressed during treatment. However, there are reports of inadequate eating disorder inpatient and outpatient services in Victoria, resulting in long waitlists.</w:t>
      </w:r>
      <w:r w:rsidRPr="00D122D3">
        <w:rPr>
          <w:rFonts w:ascii="Arial" w:hAnsi="Arial" w:cs="Arial"/>
          <w:vertAlign w:val="superscript"/>
          <w:lang w:val="en-US"/>
        </w:rPr>
        <w:footnoteReference w:id="97"/>
      </w:r>
      <w:r w:rsidRPr="00D122D3">
        <w:rPr>
          <w:rFonts w:ascii="Arial" w:hAnsi="Arial" w:cs="Arial"/>
          <w:lang w:val="en-US"/>
        </w:rPr>
        <w:t xml:space="preserve"> People living in rural and regional areas report lack of services and healthcare workers with knowledge about eating disorders in their area.</w:t>
      </w:r>
      <w:r w:rsidRPr="00D122D3">
        <w:rPr>
          <w:rFonts w:ascii="Arial" w:hAnsi="Arial" w:cs="Arial"/>
          <w:vertAlign w:val="superscript"/>
          <w:lang w:val="en-US"/>
        </w:rPr>
        <w:footnoteReference w:id="98"/>
      </w:r>
      <w:r w:rsidRPr="00D122D3">
        <w:rPr>
          <w:rFonts w:ascii="Arial" w:hAnsi="Arial" w:cs="Arial"/>
          <w:lang w:val="en-US"/>
        </w:rPr>
        <w:t xml:space="preserve"> </w:t>
      </w:r>
      <w:r w:rsidR="00CD4E0A">
        <w:rPr>
          <w:rFonts w:ascii="Arial" w:hAnsi="Arial" w:cs="Arial"/>
          <w:lang w:val="en-US"/>
        </w:rPr>
        <w:t>O</w:t>
      </w:r>
      <w:r w:rsidRPr="00D122D3">
        <w:rPr>
          <w:rFonts w:ascii="Arial" w:hAnsi="Arial" w:cs="Arial"/>
          <w:lang w:val="en-US"/>
        </w:rPr>
        <w:t>f people living with an eating disorder</w:t>
      </w:r>
      <w:r w:rsidR="00CD4E0A">
        <w:rPr>
          <w:rFonts w:ascii="Arial" w:hAnsi="Arial" w:cs="Arial"/>
          <w:lang w:val="en-US"/>
        </w:rPr>
        <w:t>, 79%</w:t>
      </w:r>
      <w:r w:rsidRPr="00D122D3">
        <w:rPr>
          <w:rFonts w:ascii="Arial" w:hAnsi="Arial" w:cs="Arial"/>
          <w:lang w:val="en-US"/>
        </w:rPr>
        <w:t xml:space="preserve"> report that cost remains a significant barrier to accessing treatment.</w:t>
      </w:r>
      <w:r w:rsidRPr="00D122D3">
        <w:rPr>
          <w:rFonts w:ascii="Arial" w:hAnsi="Arial" w:cs="Arial"/>
          <w:vertAlign w:val="superscript"/>
          <w:lang w:val="en-US"/>
        </w:rPr>
        <w:footnoteReference w:id="99"/>
      </w:r>
    </w:p>
    <w:p w14:paraId="27D41F26" w14:textId="21213DFF" w:rsidR="00D122D3" w:rsidRPr="00D122D3" w:rsidRDefault="00D122D3" w:rsidP="00791A96">
      <w:pPr>
        <w:spacing w:after="120" w:line="276" w:lineRule="auto"/>
        <w:jc w:val="both"/>
        <w:rPr>
          <w:rFonts w:ascii="Arial" w:hAnsi="Arial" w:cs="Arial"/>
          <w:color w:val="ED7D31" w:themeColor="accent2"/>
          <w:sz w:val="24"/>
          <w:szCs w:val="24"/>
        </w:rPr>
      </w:pPr>
      <w:bookmarkStart w:id="21" w:name="_Toc57983227"/>
      <w:r w:rsidRPr="00D122D3">
        <w:rPr>
          <w:rFonts w:ascii="Arial" w:hAnsi="Arial" w:cs="Arial"/>
          <w:color w:val="ED7D31" w:themeColor="accent2"/>
          <w:sz w:val="24"/>
          <w:szCs w:val="24"/>
        </w:rPr>
        <w:t>Help-seeking</w:t>
      </w:r>
      <w:bookmarkEnd w:id="21"/>
      <w:r w:rsidRPr="00D122D3">
        <w:rPr>
          <w:rFonts w:ascii="Arial" w:hAnsi="Arial" w:cs="Arial"/>
          <w:color w:val="ED7D31" w:themeColor="accent2"/>
          <w:sz w:val="24"/>
          <w:szCs w:val="24"/>
        </w:rPr>
        <w:t xml:space="preserve"> and access to services</w:t>
      </w:r>
    </w:p>
    <w:p w14:paraId="0FBBCB5A" w14:textId="77777777" w:rsidR="00D122D3" w:rsidRPr="00D122D3" w:rsidRDefault="00D122D3" w:rsidP="00791A96">
      <w:pPr>
        <w:spacing w:after="120" w:line="276" w:lineRule="auto"/>
        <w:jc w:val="both"/>
        <w:rPr>
          <w:rFonts w:ascii="Arial" w:hAnsi="Arial" w:cs="Arial"/>
        </w:rPr>
      </w:pPr>
      <w:r w:rsidRPr="00D122D3">
        <w:rPr>
          <w:rFonts w:ascii="Arial" w:hAnsi="Arial" w:cs="Arial"/>
        </w:rPr>
        <w:t>As highlighted in Mission Australia’s latest Youth Survey, gender-sensitive mental health services are important to respond to the concerns, challenges and support preferences of young females and males.</w:t>
      </w:r>
      <w:r w:rsidRPr="00D122D3">
        <w:rPr>
          <w:rFonts w:ascii="Arial" w:hAnsi="Arial" w:cs="Arial"/>
          <w:vertAlign w:val="superscript"/>
        </w:rPr>
        <w:footnoteReference w:id="100"/>
      </w:r>
      <w:r w:rsidRPr="00D122D3">
        <w:rPr>
          <w:rFonts w:ascii="Arial" w:hAnsi="Arial" w:cs="Arial"/>
        </w:rPr>
        <w:t xml:space="preserve"> </w:t>
      </w:r>
    </w:p>
    <w:p w14:paraId="7CFD90C5" w14:textId="7703C33E" w:rsidR="00CD4E0A" w:rsidRDefault="00D122D3" w:rsidP="00791A96">
      <w:pPr>
        <w:spacing w:after="120" w:line="276" w:lineRule="auto"/>
        <w:jc w:val="both"/>
        <w:rPr>
          <w:rFonts w:ascii="Arial" w:hAnsi="Arial" w:cs="Arial"/>
        </w:rPr>
      </w:pPr>
      <w:r w:rsidRPr="00D122D3">
        <w:rPr>
          <w:rFonts w:ascii="Arial" w:hAnsi="Arial" w:cs="Arial"/>
        </w:rPr>
        <w:lastRenderedPageBreak/>
        <w:t>A lack of understanding by health professionals and parents, and feelings of shame and guilt, can be barriers to seeking help.</w:t>
      </w:r>
      <w:r w:rsidRPr="00D122D3">
        <w:rPr>
          <w:rFonts w:ascii="Arial" w:hAnsi="Arial" w:cs="Arial"/>
          <w:vertAlign w:val="superscript"/>
        </w:rPr>
        <w:footnoteReference w:id="101"/>
      </w:r>
      <w:r w:rsidRPr="00D122D3">
        <w:rPr>
          <w:rFonts w:ascii="Arial" w:hAnsi="Arial" w:cs="Arial"/>
          <w:vertAlign w:val="superscript"/>
        </w:rPr>
        <w:t xml:space="preserve">  </w:t>
      </w:r>
      <w:r w:rsidRPr="00D122D3">
        <w:rPr>
          <w:rFonts w:ascii="Arial" w:hAnsi="Arial" w:cs="Arial"/>
        </w:rPr>
        <w:t xml:space="preserve">The Mission Australia survey found higher proportions of young women </w:t>
      </w:r>
      <w:r w:rsidR="00CD4E0A">
        <w:rPr>
          <w:rFonts w:ascii="Arial" w:hAnsi="Arial" w:cs="Arial"/>
        </w:rPr>
        <w:t>reported the following as barriers to seeking help:</w:t>
      </w:r>
    </w:p>
    <w:p w14:paraId="7AF016D8" w14:textId="666609BF" w:rsidR="00CD4E0A" w:rsidRDefault="00D122D3" w:rsidP="00791A96">
      <w:pPr>
        <w:pStyle w:val="ListParagraph"/>
        <w:numPr>
          <w:ilvl w:val="0"/>
          <w:numId w:val="43"/>
        </w:numPr>
        <w:spacing w:after="120" w:line="276" w:lineRule="auto"/>
        <w:contextualSpacing w:val="0"/>
        <w:jc w:val="both"/>
        <w:rPr>
          <w:rFonts w:ascii="Arial" w:hAnsi="Arial" w:cs="Arial"/>
        </w:rPr>
      </w:pPr>
      <w:r w:rsidRPr="000F11C7">
        <w:rPr>
          <w:rFonts w:ascii="Arial" w:hAnsi="Arial" w:cs="Arial"/>
        </w:rPr>
        <w:t>stigma and embarrassment (39.4% compared with 33.2% of males),</w:t>
      </w:r>
    </w:p>
    <w:p w14:paraId="63BEF901" w14:textId="7390D7B3" w:rsidR="000F11C7" w:rsidRDefault="00D122D3" w:rsidP="00791A96">
      <w:pPr>
        <w:pStyle w:val="ListParagraph"/>
        <w:numPr>
          <w:ilvl w:val="0"/>
          <w:numId w:val="43"/>
        </w:numPr>
        <w:spacing w:after="120" w:line="276" w:lineRule="auto"/>
        <w:contextualSpacing w:val="0"/>
        <w:jc w:val="both"/>
        <w:rPr>
          <w:rFonts w:ascii="Arial" w:hAnsi="Arial" w:cs="Arial"/>
        </w:rPr>
      </w:pPr>
      <w:r w:rsidRPr="000F11C7">
        <w:rPr>
          <w:rFonts w:ascii="Arial" w:hAnsi="Arial" w:cs="Arial"/>
        </w:rPr>
        <w:t>fear (31.3% compared with 19.7%</w:t>
      </w:r>
      <w:r w:rsidR="00CD4E0A">
        <w:rPr>
          <w:rFonts w:ascii="Arial" w:hAnsi="Arial" w:cs="Arial"/>
        </w:rPr>
        <w:t xml:space="preserve"> </w:t>
      </w:r>
      <w:r w:rsidR="000F11C7">
        <w:rPr>
          <w:rFonts w:ascii="Arial" w:hAnsi="Arial" w:cs="Arial"/>
        </w:rPr>
        <w:t xml:space="preserve">of </w:t>
      </w:r>
      <w:r w:rsidR="00CD4E0A">
        <w:rPr>
          <w:rFonts w:ascii="Arial" w:hAnsi="Arial" w:cs="Arial"/>
        </w:rPr>
        <w:t>males</w:t>
      </w:r>
      <w:r w:rsidRPr="00BB7AB0">
        <w:rPr>
          <w:rFonts w:ascii="Arial" w:hAnsi="Arial" w:cs="Arial"/>
        </w:rPr>
        <w:t>) and</w:t>
      </w:r>
    </w:p>
    <w:p w14:paraId="6A248697" w14:textId="5F63D74F" w:rsidR="000F11C7" w:rsidRDefault="00D122D3" w:rsidP="00791A96">
      <w:pPr>
        <w:pStyle w:val="ListParagraph"/>
        <w:numPr>
          <w:ilvl w:val="0"/>
          <w:numId w:val="43"/>
        </w:numPr>
        <w:spacing w:after="120" w:line="276" w:lineRule="auto"/>
        <w:contextualSpacing w:val="0"/>
        <w:jc w:val="both"/>
        <w:rPr>
          <w:rFonts w:ascii="Arial" w:hAnsi="Arial" w:cs="Arial"/>
        </w:rPr>
      </w:pPr>
      <w:r w:rsidRPr="000F11C7">
        <w:rPr>
          <w:rFonts w:ascii="Arial" w:hAnsi="Arial" w:cs="Arial"/>
        </w:rPr>
        <w:t>a lack of support (28.6% compared with 24.1%</w:t>
      </w:r>
      <w:r w:rsidR="000F11C7">
        <w:rPr>
          <w:rFonts w:ascii="Arial" w:hAnsi="Arial" w:cs="Arial"/>
        </w:rPr>
        <w:t xml:space="preserve"> of males</w:t>
      </w:r>
      <w:r w:rsidRPr="00A977B5">
        <w:rPr>
          <w:rFonts w:ascii="Arial" w:hAnsi="Arial" w:cs="Arial"/>
        </w:rPr>
        <w:t>)</w:t>
      </w:r>
      <w:r w:rsidRPr="00BB7AB0">
        <w:rPr>
          <w:rFonts w:ascii="Arial" w:hAnsi="Arial" w:cs="Arial"/>
        </w:rPr>
        <w:t>.</w:t>
      </w:r>
      <w:r w:rsidRPr="00D122D3">
        <w:rPr>
          <w:vertAlign w:val="superscript"/>
        </w:rPr>
        <w:footnoteReference w:id="102"/>
      </w:r>
      <w:r w:rsidRPr="00BB7AB0">
        <w:rPr>
          <w:rFonts w:ascii="Arial" w:hAnsi="Arial" w:cs="Arial"/>
        </w:rPr>
        <w:t xml:space="preserve"> </w:t>
      </w:r>
    </w:p>
    <w:p w14:paraId="49DA6A3C" w14:textId="564A4371" w:rsidR="00D122D3" w:rsidRPr="00D122D3" w:rsidRDefault="00D122D3" w:rsidP="00791A96">
      <w:pPr>
        <w:spacing w:after="120" w:line="276" w:lineRule="auto"/>
        <w:jc w:val="both"/>
        <w:rPr>
          <w:rFonts w:ascii="Arial" w:hAnsi="Arial" w:cs="Arial"/>
        </w:rPr>
      </w:pPr>
      <w:r w:rsidRPr="00BB7AB0">
        <w:rPr>
          <w:rFonts w:ascii="Arial" w:hAnsi="Arial" w:cs="Arial"/>
        </w:rPr>
        <w:t>Many young people from migrant and refugee backgrounds are reportedly very reluctant to seek professional support with their psychosocial problems due to a range of individual, cultural, and service-related barriers.</w:t>
      </w:r>
      <w:r w:rsidRPr="00D122D3">
        <w:rPr>
          <w:vertAlign w:val="superscript"/>
        </w:rPr>
        <w:footnoteReference w:id="103"/>
      </w:r>
      <w:r w:rsidR="00AC223D">
        <w:rPr>
          <w:rFonts w:ascii="Arial" w:hAnsi="Arial" w:cs="Arial"/>
        </w:rPr>
        <w:t xml:space="preserve"> </w:t>
      </w:r>
      <w:r w:rsidRPr="00D122D3">
        <w:rPr>
          <w:rFonts w:ascii="Arial" w:hAnsi="Arial" w:cs="Arial"/>
        </w:rPr>
        <w:t>Th</w:t>
      </w:r>
      <w:r w:rsidR="00BB7AB0">
        <w:rPr>
          <w:rFonts w:ascii="Arial" w:hAnsi="Arial" w:cs="Arial"/>
        </w:rPr>
        <w:t>ese</w:t>
      </w:r>
      <w:r w:rsidRPr="00D122D3">
        <w:rPr>
          <w:rFonts w:ascii="Arial" w:hAnsi="Arial" w:cs="Arial"/>
        </w:rPr>
        <w:t xml:space="preserve"> include a lack of culturally relevant mental health services (and</w:t>
      </w:r>
      <w:r w:rsidR="00A977B5">
        <w:rPr>
          <w:rFonts w:ascii="Arial" w:hAnsi="Arial" w:cs="Arial"/>
        </w:rPr>
        <w:t>/or</w:t>
      </w:r>
      <w:r w:rsidRPr="00D122D3">
        <w:rPr>
          <w:rFonts w:ascii="Arial" w:hAnsi="Arial" w:cs="Arial"/>
        </w:rPr>
        <w:t xml:space="preserve"> services that treat migrant and refugee young women as a homogen</w:t>
      </w:r>
      <w:r w:rsidR="00A977B5">
        <w:rPr>
          <w:rFonts w:ascii="Arial" w:hAnsi="Arial" w:cs="Arial"/>
        </w:rPr>
        <w:t>e</w:t>
      </w:r>
      <w:r w:rsidRPr="00D122D3">
        <w:rPr>
          <w:rFonts w:ascii="Arial" w:hAnsi="Arial" w:cs="Arial"/>
        </w:rPr>
        <w:t>ous group, rather than responding to differing community needs), lack of trained bi-lingual and bi-cultural practitioners working in health services, and unaffordability of services.</w:t>
      </w:r>
      <w:r w:rsidRPr="00D122D3">
        <w:rPr>
          <w:rFonts w:ascii="Arial" w:hAnsi="Arial" w:cs="Arial"/>
          <w:vertAlign w:val="superscript"/>
        </w:rPr>
        <w:footnoteReference w:id="104"/>
      </w:r>
    </w:p>
    <w:p w14:paraId="5B2A63E6" w14:textId="63B5E679" w:rsidR="00D122D3" w:rsidRPr="00D122D3" w:rsidRDefault="00AC223D" w:rsidP="00791A96">
      <w:pPr>
        <w:spacing w:after="120" w:line="276" w:lineRule="auto"/>
        <w:jc w:val="both"/>
        <w:rPr>
          <w:rFonts w:ascii="Arial" w:hAnsi="Arial" w:cs="Arial"/>
        </w:rPr>
      </w:pPr>
      <w:r>
        <w:rPr>
          <w:rFonts w:ascii="Arial" w:hAnsi="Arial" w:cs="Arial"/>
        </w:rPr>
        <w:t>Young mental health carers face barriers to accessing support. Because</w:t>
      </w:r>
      <w:r w:rsidR="00D122D3" w:rsidRPr="00D122D3">
        <w:rPr>
          <w:rFonts w:ascii="Arial" w:hAnsi="Arial" w:cs="Arial"/>
        </w:rPr>
        <w:t xml:space="preserve"> much of the support </w:t>
      </w:r>
      <w:r>
        <w:rPr>
          <w:rFonts w:ascii="Arial" w:hAnsi="Arial" w:cs="Arial"/>
        </w:rPr>
        <w:t>they provide</w:t>
      </w:r>
      <w:r w:rsidR="00D122D3" w:rsidRPr="00D122D3">
        <w:rPr>
          <w:rFonts w:ascii="Arial" w:hAnsi="Arial" w:cs="Arial"/>
        </w:rPr>
        <w:t xml:space="preserve"> is emotional and behavioural, </w:t>
      </w:r>
      <w:r>
        <w:rPr>
          <w:rFonts w:ascii="Arial" w:hAnsi="Arial" w:cs="Arial"/>
        </w:rPr>
        <w:t>it can be invisible, making young carers</w:t>
      </w:r>
      <w:r w:rsidR="00D122D3" w:rsidRPr="00D122D3">
        <w:rPr>
          <w:rFonts w:ascii="Arial" w:hAnsi="Arial" w:cs="Arial"/>
        </w:rPr>
        <w:t xml:space="preserve"> hard to identify</w:t>
      </w:r>
      <w:r>
        <w:rPr>
          <w:rFonts w:ascii="Arial" w:hAnsi="Arial" w:cs="Arial"/>
        </w:rPr>
        <w:t xml:space="preserve"> and </w:t>
      </w:r>
      <w:r w:rsidR="00D122D3" w:rsidRPr="00D122D3">
        <w:rPr>
          <w:rFonts w:ascii="Arial" w:hAnsi="Arial" w:cs="Arial"/>
        </w:rPr>
        <w:t>hinder</w:t>
      </w:r>
      <w:r>
        <w:rPr>
          <w:rFonts w:ascii="Arial" w:hAnsi="Arial" w:cs="Arial"/>
        </w:rPr>
        <w:t>ing</w:t>
      </w:r>
      <w:r w:rsidR="00D122D3" w:rsidRPr="00D122D3">
        <w:rPr>
          <w:rFonts w:ascii="Arial" w:hAnsi="Arial" w:cs="Arial"/>
        </w:rPr>
        <w:t xml:space="preserve"> their access to support</w:t>
      </w:r>
      <w:r w:rsidR="00D122D3" w:rsidRPr="003F5CA3">
        <w:rPr>
          <w:rFonts w:ascii="Arial" w:hAnsi="Arial" w:cs="Arial"/>
        </w:rPr>
        <w:t xml:space="preserve">. Fear of disclosing their caring role and mental health situation of their family member is a significant barrier to their seeking support, as </w:t>
      </w:r>
      <w:r>
        <w:rPr>
          <w:rFonts w:ascii="Arial" w:hAnsi="Arial" w:cs="Arial"/>
        </w:rPr>
        <w:t>well as</w:t>
      </w:r>
      <w:r w:rsidR="00D122D3" w:rsidRPr="003F5CA3">
        <w:rPr>
          <w:rFonts w:ascii="Arial" w:hAnsi="Arial" w:cs="Arial"/>
        </w:rPr>
        <w:t xml:space="preserve"> fear of bullying and stigma, or </w:t>
      </w:r>
      <w:r>
        <w:rPr>
          <w:rFonts w:ascii="Arial" w:hAnsi="Arial" w:cs="Arial"/>
        </w:rPr>
        <w:t xml:space="preserve">of </w:t>
      </w:r>
      <w:r w:rsidR="00D122D3" w:rsidRPr="003F5CA3">
        <w:rPr>
          <w:rFonts w:ascii="Arial" w:hAnsi="Arial" w:cs="Arial"/>
        </w:rPr>
        <w:t>questions being raised about child protection.</w:t>
      </w:r>
      <w:r w:rsidR="00D122D3" w:rsidRPr="003F5CA3">
        <w:rPr>
          <w:rFonts w:ascii="Arial" w:hAnsi="Arial" w:cs="Arial"/>
          <w:vertAlign w:val="superscript"/>
        </w:rPr>
        <w:footnoteReference w:id="105"/>
      </w:r>
      <w:r w:rsidR="00D122D3" w:rsidRPr="003F5CA3">
        <w:rPr>
          <w:rFonts w:ascii="Arial" w:hAnsi="Arial" w:cs="Arial"/>
        </w:rPr>
        <w:t xml:space="preserve"> Tandem, th</w:t>
      </w:r>
      <w:r w:rsidR="00A977B5">
        <w:rPr>
          <w:rFonts w:ascii="Arial" w:hAnsi="Arial" w:cs="Arial"/>
        </w:rPr>
        <w:t>e</w:t>
      </w:r>
      <w:r w:rsidR="00D122D3" w:rsidRPr="003F5CA3">
        <w:rPr>
          <w:rFonts w:ascii="Arial" w:hAnsi="Arial" w:cs="Arial"/>
        </w:rPr>
        <w:t xml:space="preserve"> peak</w:t>
      </w:r>
      <w:r w:rsidR="00A977B5">
        <w:rPr>
          <w:rFonts w:ascii="Arial" w:hAnsi="Arial" w:cs="Arial"/>
        </w:rPr>
        <w:t xml:space="preserve"> body for mental health carers in Victoria</w:t>
      </w:r>
      <w:r w:rsidR="00D122D3" w:rsidRPr="003F5CA3">
        <w:rPr>
          <w:rFonts w:ascii="Arial" w:hAnsi="Arial" w:cs="Arial"/>
        </w:rPr>
        <w:t xml:space="preserve">, also </w:t>
      </w:r>
      <w:r>
        <w:rPr>
          <w:rFonts w:ascii="Arial" w:hAnsi="Arial" w:cs="Arial"/>
        </w:rPr>
        <w:t>report</w:t>
      </w:r>
      <w:r w:rsidR="00D122D3" w:rsidRPr="003F5CA3">
        <w:rPr>
          <w:rFonts w:ascii="Arial" w:hAnsi="Arial" w:cs="Arial"/>
        </w:rPr>
        <w:t xml:space="preserve"> feelings of guilt and worry about the potential impacts on their parental and family relationships as barriers to seeking help.</w:t>
      </w:r>
      <w:r w:rsidR="00D122D3" w:rsidRPr="00D122D3">
        <w:rPr>
          <w:rFonts w:ascii="Arial" w:hAnsi="Arial" w:cs="Arial"/>
        </w:rPr>
        <w:t xml:space="preserve"> </w:t>
      </w:r>
    </w:p>
    <w:p w14:paraId="0447622C" w14:textId="77777777" w:rsidR="00D122D3" w:rsidRPr="00D122D3" w:rsidRDefault="00D122D3" w:rsidP="00791A96">
      <w:pPr>
        <w:spacing w:after="120" w:line="276" w:lineRule="auto"/>
        <w:jc w:val="both"/>
        <w:rPr>
          <w:rFonts w:ascii="Arial" w:hAnsi="Arial" w:cs="Arial"/>
        </w:rPr>
      </w:pPr>
      <w:bookmarkStart w:id="22" w:name="_Hlk22822167"/>
      <w:r w:rsidRPr="00D122D3">
        <w:rPr>
          <w:rFonts w:ascii="Arial" w:hAnsi="Arial" w:cs="Arial"/>
        </w:rPr>
        <w:t>During COVID, many young people who have sought help have been unable to access timely services. The Victorian Commission for Children and Young People found that a ‘significant number of children and young people reported inadequate access to mental health services, including programs not being available, long wait lists and the lack of services tailored to young people.’</w:t>
      </w:r>
      <w:r w:rsidRPr="00D122D3">
        <w:rPr>
          <w:rFonts w:ascii="Arial" w:hAnsi="Arial" w:cs="Arial"/>
          <w:vertAlign w:val="superscript"/>
        </w:rPr>
        <w:footnoteReference w:id="106"/>
      </w:r>
      <w:r w:rsidRPr="00D122D3">
        <w:rPr>
          <w:rFonts w:ascii="Arial" w:hAnsi="Arial" w:cs="Arial"/>
        </w:rPr>
        <w:t xml:space="preserve"> The same report</w:t>
      </w:r>
      <w:bookmarkEnd w:id="22"/>
      <w:r w:rsidRPr="00D122D3">
        <w:rPr>
          <w:rFonts w:ascii="Arial" w:hAnsi="Arial" w:cs="Arial"/>
        </w:rPr>
        <w:t xml:space="preserve"> found that many young people prefer to access face-to-face mental health services, rather than telehealth services, particularly if they were engaging with services for the first time.</w:t>
      </w:r>
    </w:p>
    <w:p w14:paraId="7716FF3C" w14:textId="77777777" w:rsidR="00D807DE" w:rsidRDefault="00D122D3" w:rsidP="00791A96">
      <w:pPr>
        <w:shd w:val="clear" w:color="auto" w:fill="FFFFFF" w:themeFill="background1"/>
        <w:spacing w:after="120" w:line="276" w:lineRule="auto"/>
        <w:jc w:val="both"/>
        <w:rPr>
          <w:rFonts w:ascii="Arial" w:hAnsi="Arial" w:cs="Arial"/>
        </w:rPr>
      </w:pPr>
      <w:r w:rsidRPr="00D122D3">
        <w:rPr>
          <w:rFonts w:ascii="Arial" w:hAnsi="Arial" w:cs="Arial"/>
        </w:rPr>
        <w:t xml:space="preserve">There is a need to ‘join the dots’ between women’s experiences of gender inequality, sexual harassment, violence and trauma, and poor mental health outcomes. An awareness of gendered barriers to help-seeking is critical to support the best mental health outcomes for young women. There is also a need to address stigma and discrimination, as well as gendered </w:t>
      </w:r>
      <w:r w:rsidRPr="00D122D3">
        <w:rPr>
          <w:rFonts w:ascii="Arial" w:hAnsi="Arial" w:cs="Arial"/>
        </w:rPr>
        <w:lastRenderedPageBreak/>
        <w:t xml:space="preserve">attitudes to young women who may be seeking or need support, to ensure their concerns are taken seriously. </w:t>
      </w:r>
    </w:p>
    <w:p w14:paraId="387CEC57" w14:textId="36146251" w:rsidR="00177C08" w:rsidRPr="00D122D3" w:rsidRDefault="00D122D3" w:rsidP="00177C08">
      <w:pPr>
        <w:spacing w:after="120" w:line="276" w:lineRule="auto"/>
        <w:jc w:val="both"/>
        <w:rPr>
          <w:rFonts w:ascii="Arial" w:eastAsia="Times New Roman" w:hAnsi="Arial" w:cs="Arial"/>
        </w:rPr>
      </w:pPr>
      <w:r w:rsidRPr="00D122D3">
        <w:rPr>
          <w:rFonts w:ascii="Arial" w:hAnsi="Arial" w:cs="Arial"/>
        </w:rPr>
        <w:t>Youth mental health services need to be gender-responsive</w:t>
      </w:r>
      <w:r w:rsidR="00177C08">
        <w:rPr>
          <w:rFonts w:ascii="Arial" w:hAnsi="Arial" w:cs="Arial"/>
        </w:rPr>
        <w:t xml:space="preserve"> and </w:t>
      </w:r>
      <w:r w:rsidRPr="00D122D3">
        <w:rPr>
          <w:rFonts w:ascii="Arial" w:hAnsi="Arial" w:cs="Arial"/>
        </w:rPr>
        <w:t xml:space="preserve">trauma-informed. </w:t>
      </w:r>
      <w:r w:rsidR="00177C08" w:rsidRPr="00D122D3">
        <w:rPr>
          <w:rFonts w:ascii="Arial" w:hAnsi="Arial" w:cs="Arial"/>
        </w:rPr>
        <w:t>Using this lens, behaviours that may be considered ‘difficult’ are understood as appropriate responses or adaptations to trauma.</w:t>
      </w:r>
      <w:r w:rsidR="00177C08" w:rsidRPr="00D122D3">
        <w:rPr>
          <w:rFonts w:ascii="Arial" w:hAnsi="Arial" w:cs="Arial"/>
          <w:vertAlign w:val="superscript"/>
        </w:rPr>
        <w:footnoteReference w:id="107"/>
      </w:r>
      <w:r w:rsidR="00177C08" w:rsidRPr="00D122D3">
        <w:rPr>
          <w:rFonts w:ascii="Arial" w:hAnsi="Arial" w:cs="Arial"/>
        </w:rPr>
        <w:t xml:space="preserve"> A framework that is grounded in understanding and responding to trauma is important in any service that supports women, due to the links between poor mental health and experiences of gendered violence, including family violence</w:t>
      </w:r>
      <w:r w:rsidR="00177C08" w:rsidRPr="00D122D3">
        <w:rPr>
          <w:rFonts w:ascii="Arial" w:hAnsi="Arial" w:cs="Arial"/>
          <w:vertAlign w:val="superscript"/>
        </w:rPr>
        <w:footnoteReference w:id="108"/>
      </w:r>
      <w:r w:rsidR="00177C08" w:rsidRPr="00D122D3">
        <w:rPr>
          <w:rFonts w:ascii="Arial" w:hAnsi="Arial" w:cs="Arial"/>
          <w:u w:val="single"/>
          <w:vertAlign w:val="superscript"/>
        </w:rPr>
        <w:t xml:space="preserve"> </w:t>
      </w:r>
      <w:r w:rsidR="00177C08" w:rsidRPr="00D122D3">
        <w:rPr>
          <w:rFonts w:ascii="Arial" w:hAnsi="Arial" w:cs="Arial"/>
        </w:rPr>
        <w:t xml:space="preserve"> and sexual abuse.</w:t>
      </w:r>
      <w:r w:rsidR="00177C08" w:rsidRPr="00D122D3">
        <w:rPr>
          <w:rFonts w:ascii="Arial" w:hAnsi="Arial" w:cs="Arial"/>
          <w:vertAlign w:val="superscript"/>
        </w:rPr>
        <w:footnoteReference w:id="109"/>
      </w:r>
    </w:p>
    <w:p w14:paraId="7D383F8F" w14:textId="5866FB6F" w:rsidR="00D122D3" w:rsidRDefault="00AC223D" w:rsidP="00791A96">
      <w:pPr>
        <w:shd w:val="clear" w:color="auto" w:fill="FFFFFF" w:themeFill="background1"/>
        <w:spacing w:after="120" w:line="276" w:lineRule="auto"/>
        <w:jc w:val="both"/>
        <w:rPr>
          <w:rFonts w:ascii="Arial" w:hAnsi="Arial" w:cs="Arial"/>
        </w:rPr>
      </w:pPr>
      <w:r>
        <w:rPr>
          <w:rFonts w:ascii="Arial" w:hAnsi="Arial" w:cs="Arial"/>
        </w:rPr>
        <w:t>M</w:t>
      </w:r>
      <w:r w:rsidR="00D122D3" w:rsidRPr="00D122D3">
        <w:rPr>
          <w:rFonts w:ascii="Arial" w:hAnsi="Arial" w:cs="Arial"/>
        </w:rPr>
        <w:t xml:space="preserve">ental health programs, services and prevention </w:t>
      </w:r>
      <w:r>
        <w:rPr>
          <w:rFonts w:ascii="Arial" w:hAnsi="Arial" w:cs="Arial"/>
        </w:rPr>
        <w:t xml:space="preserve">initiatives </w:t>
      </w:r>
      <w:r w:rsidR="00D122D3" w:rsidRPr="00D122D3">
        <w:rPr>
          <w:rFonts w:ascii="Arial" w:hAnsi="Arial" w:cs="Arial"/>
        </w:rPr>
        <w:t xml:space="preserve">aimed at young women must also take an intersectional approach and be </w:t>
      </w:r>
      <w:r w:rsidR="00177C08">
        <w:rPr>
          <w:rFonts w:ascii="Arial" w:hAnsi="Arial" w:cs="Arial"/>
        </w:rPr>
        <w:t xml:space="preserve">culturally safe and </w:t>
      </w:r>
      <w:r w:rsidR="00D122D3" w:rsidRPr="00D122D3">
        <w:rPr>
          <w:rFonts w:ascii="Arial" w:hAnsi="Arial" w:cs="Arial"/>
        </w:rPr>
        <w:t>responsive to the other factors that impact young women’s lives beyond sex and gender. Services and health professionals must avoid homogenising approaches to young women’s mental health and wellbeing by recognising that the experience of sex and gender-based inequality interacts with experiences of ableism, homophobia, racism and socio-economic and rural disadvantage.</w:t>
      </w:r>
    </w:p>
    <w:p w14:paraId="01C8AA31" w14:textId="78D99D7E" w:rsidR="00BE7BFA" w:rsidRPr="00D122D3" w:rsidRDefault="00BE7BFA" w:rsidP="00791A96">
      <w:pPr>
        <w:shd w:val="clear" w:color="auto" w:fill="FFFFFF" w:themeFill="background1"/>
        <w:spacing w:after="120" w:line="276" w:lineRule="auto"/>
        <w:jc w:val="both"/>
        <w:rPr>
          <w:rFonts w:ascii="Arial" w:hAnsi="Arial" w:cs="Arial"/>
        </w:rPr>
      </w:pPr>
      <w:r>
        <w:rPr>
          <w:rFonts w:ascii="Arial" w:hAnsi="Arial" w:cs="Arial"/>
        </w:rPr>
        <w:t>Further detail on gender-responsive, trauma-informed and culturally safe services is included in Recommendation 3 below.</w:t>
      </w:r>
    </w:p>
    <w:p w14:paraId="71EB5352" w14:textId="6DC3A55A" w:rsidR="00D122D3" w:rsidRPr="00D122D3" w:rsidRDefault="00D122D3" w:rsidP="00791A96">
      <w:pPr>
        <w:keepNext/>
        <w:keepLines/>
        <w:spacing w:after="120" w:line="276" w:lineRule="auto"/>
        <w:jc w:val="both"/>
        <w:outlineLvl w:val="1"/>
        <w:rPr>
          <w:rFonts w:ascii="Arial" w:eastAsiaTheme="majorEastAsia" w:hAnsi="Arial" w:cs="Arial"/>
          <w:b/>
          <w:bCs/>
          <w:color w:val="1F3864" w:themeColor="accent1" w:themeShade="80"/>
          <w:sz w:val="30"/>
          <w:szCs w:val="26"/>
        </w:rPr>
      </w:pPr>
      <w:bookmarkStart w:id="23" w:name="_Toc57983228"/>
      <w:bookmarkStart w:id="24" w:name="_Toc59045879"/>
      <w:r w:rsidRPr="00D122D3">
        <w:rPr>
          <w:rFonts w:ascii="Arial" w:eastAsiaTheme="majorEastAsia" w:hAnsi="Arial" w:cs="Arial"/>
          <w:b/>
          <w:bCs/>
          <w:color w:val="1F3864" w:themeColor="accent1" w:themeShade="80"/>
          <w:sz w:val="30"/>
          <w:szCs w:val="26"/>
        </w:rPr>
        <w:t>Recommendations to support young women’s mental health</w:t>
      </w:r>
      <w:bookmarkEnd w:id="23"/>
      <w:bookmarkEnd w:id="24"/>
    </w:p>
    <w:p w14:paraId="6BE87316" w14:textId="77777777" w:rsidR="00D122D3" w:rsidRPr="00D122D3" w:rsidRDefault="00D122D3" w:rsidP="00791A96">
      <w:pPr>
        <w:spacing w:after="120" w:line="276" w:lineRule="auto"/>
        <w:jc w:val="both"/>
        <w:rPr>
          <w:rFonts w:ascii="Arial" w:hAnsi="Arial" w:cs="Arial"/>
          <w:color w:val="ED7D31" w:themeColor="accent2"/>
          <w:sz w:val="24"/>
          <w:szCs w:val="24"/>
        </w:rPr>
      </w:pPr>
      <w:bookmarkStart w:id="25" w:name="_Hlk57646897"/>
      <w:r w:rsidRPr="00D122D3">
        <w:rPr>
          <w:rFonts w:ascii="Arial" w:hAnsi="Arial" w:cs="Arial"/>
          <w:color w:val="ED7D31" w:themeColor="accent2"/>
          <w:sz w:val="24"/>
          <w:szCs w:val="24"/>
        </w:rPr>
        <w:t>2. Invest in an intersectional gender-sensitive approach to youth mental health promotion to address the drivers of poor mental health among girls and young women, including gender inequality by:</w:t>
      </w:r>
    </w:p>
    <w:p w14:paraId="6BFCE653" w14:textId="77777777" w:rsidR="00177C08" w:rsidRPr="00D122D3" w:rsidRDefault="00177C08" w:rsidP="00177C08">
      <w:pPr>
        <w:numPr>
          <w:ilvl w:val="0"/>
          <w:numId w:val="11"/>
        </w:numPr>
        <w:spacing w:after="120" w:line="276" w:lineRule="auto"/>
        <w:jc w:val="both"/>
        <w:rPr>
          <w:rFonts w:ascii="Arial" w:eastAsia="Times New Roman" w:hAnsi="Arial" w:cs="Arial"/>
        </w:rPr>
      </w:pPr>
      <w:r w:rsidRPr="00D122D3">
        <w:rPr>
          <w:rFonts w:ascii="Arial" w:eastAsia="Times New Roman" w:hAnsi="Arial" w:cs="Arial"/>
        </w:rPr>
        <w:t>Invest</w:t>
      </w:r>
      <w:r>
        <w:rPr>
          <w:rFonts w:ascii="Arial" w:eastAsia="Times New Roman" w:hAnsi="Arial" w:cs="Arial"/>
        </w:rPr>
        <w:t>ing</w:t>
      </w:r>
      <w:r w:rsidRPr="00D122D3">
        <w:rPr>
          <w:rFonts w:ascii="Arial" w:eastAsia="Times New Roman" w:hAnsi="Arial" w:cs="Arial"/>
        </w:rPr>
        <w:t xml:space="preserve"> in gender equality </w:t>
      </w:r>
      <w:r>
        <w:rPr>
          <w:rFonts w:ascii="Arial" w:eastAsia="Times New Roman" w:hAnsi="Arial" w:cs="Arial"/>
        </w:rPr>
        <w:t>as</w:t>
      </w:r>
      <w:r w:rsidRPr="00D122D3">
        <w:rPr>
          <w:rFonts w:ascii="Arial" w:eastAsia="Times New Roman" w:hAnsi="Arial" w:cs="Arial"/>
        </w:rPr>
        <w:t xml:space="preserve"> a primary prevention strategy for mental health</w:t>
      </w:r>
      <w:r>
        <w:rPr>
          <w:rFonts w:ascii="Arial" w:eastAsia="Times New Roman" w:hAnsi="Arial" w:cs="Arial"/>
        </w:rPr>
        <w:t>;</w:t>
      </w:r>
      <w:r w:rsidRPr="00D122D3">
        <w:rPr>
          <w:rFonts w:ascii="Arial" w:eastAsia="Times New Roman" w:hAnsi="Arial" w:cs="Arial"/>
        </w:rPr>
        <w:t xml:space="preserve"> </w:t>
      </w:r>
    </w:p>
    <w:p w14:paraId="4F940E66" w14:textId="3D4A3A77" w:rsidR="00D122D3" w:rsidRPr="00D122D3" w:rsidRDefault="00D122D3" w:rsidP="00791A96">
      <w:pPr>
        <w:numPr>
          <w:ilvl w:val="0"/>
          <w:numId w:val="11"/>
        </w:numPr>
        <w:spacing w:after="120" w:line="276" w:lineRule="auto"/>
        <w:jc w:val="both"/>
        <w:rPr>
          <w:rFonts w:ascii="Arial" w:eastAsia="Times New Roman" w:hAnsi="Arial" w:cs="Arial"/>
        </w:rPr>
      </w:pPr>
      <w:r w:rsidRPr="00D122D3">
        <w:rPr>
          <w:rFonts w:ascii="Arial" w:eastAsia="Times New Roman" w:hAnsi="Arial" w:cs="Arial"/>
        </w:rPr>
        <w:t>Focus</w:t>
      </w:r>
      <w:r w:rsidR="00D807DE">
        <w:rPr>
          <w:rFonts w:ascii="Arial" w:eastAsia="Times New Roman" w:hAnsi="Arial" w:cs="Arial"/>
        </w:rPr>
        <w:t>ing</w:t>
      </w:r>
      <w:r w:rsidRPr="00D122D3">
        <w:rPr>
          <w:rFonts w:ascii="Arial" w:eastAsia="Times New Roman" w:hAnsi="Arial" w:cs="Arial"/>
        </w:rPr>
        <w:t xml:space="preserve"> on addressing the structural, as well as individual, ‘drivers’ of poor mental health among young women (including gendered violence, trauma, housing and financial insecurity, and poor body image among others);</w:t>
      </w:r>
    </w:p>
    <w:p w14:paraId="5DF9F000" w14:textId="3FD4E33E" w:rsidR="00D122D3" w:rsidRPr="00D122D3" w:rsidRDefault="00177C08" w:rsidP="00791A96">
      <w:pPr>
        <w:numPr>
          <w:ilvl w:val="0"/>
          <w:numId w:val="11"/>
        </w:numPr>
        <w:spacing w:after="120" w:line="276" w:lineRule="auto"/>
        <w:jc w:val="both"/>
        <w:rPr>
          <w:rFonts w:ascii="Arial" w:eastAsia="Times New Roman" w:hAnsi="Arial" w:cs="Arial"/>
        </w:rPr>
      </w:pPr>
      <w:r>
        <w:rPr>
          <w:rFonts w:ascii="Arial" w:eastAsia="Times New Roman" w:hAnsi="Arial" w:cs="Arial"/>
        </w:rPr>
        <w:t>Investing in gendered, intersectional mental health promotion initiatives that support young women with mild to moderate mental health concerns to manage their mental health more autonomously;</w:t>
      </w:r>
    </w:p>
    <w:p w14:paraId="15335C81" w14:textId="7024A085" w:rsidR="00D807DE" w:rsidRDefault="00D807DE" w:rsidP="00791A96">
      <w:pPr>
        <w:numPr>
          <w:ilvl w:val="0"/>
          <w:numId w:val="11"/>
        </w:numPr>
        <w:shd w:val="clear" w:color="auto" w:fill="FFFFFF"/>
        <w:spacing w:after="120" w:line="276" w:lineRule="auto"/>
        <w:jc w:val="both"/>
        <w:rPr>
          <w:rFonts w:ascii="Arial" w:eastAsia="Times New Roman" w:hAnsi="Arial" w:cs="Arial"/>
          <w:lang w:eastAsia="en-AU"/>
        </w:rPr>
      </w:pPr>
      <w:r w:rsidRPr="00D122D3">
        <w:rPr>
          <w:rFonts w:ascii="Arial" w:eastAsia="Times New Roman" w:hAnsi="Arial" w:cs="Arial"/>
          <w:lang w:eastAsia="en-AU"/>
        </w:rPr>
        <w:t>Challenging</w:t>
      </w:r>
      <w:r w:rsidRPr="00D122D3">
        <w:rPr>
          <w:rFonts w:ascii="Arial" w:hAnsi="Arial" w:cs="Arial"/>
          <w:bCs/>
        </w:rPr>
        <w:t xml:space="preserve"> the sexualisation and objectification of young women and girls at the societal</w:t>
      </w:r>
      <w:r w:rsidRPr="00D122D3">
        <w:rPr>
          <w:rFonts w:ascii="Arial" w:hAnsi="Arial" w:cs="Arial"/>
          <w:b/>
        </w:rPr>
        <w:t xml:space="preserve"> </w:t>
      </w:r>
      <w:r w:rsidRPr="00D122D3">
        <w:rPr>
          <w:rFonts w:ascii="Arial" w:hAnsi="Arial" w:cs="Arial"/>
          <w:bCs/>
        </w:rPr>
        <w:t>level</w:t>
      </w:r>
      <w:r w:rsidR="00177C08">
        <w:rPr>
          <w:rFonts w:ascii="Arial" w:hAnsi="Arial" w:cs="Arial"/>
          <w:bCs/>
        </w:rPr>
        <w:t>;</w:t>
      </w:r>
      <w:r w:rsidRPr="00D122D3">
        <w:rPr>
          <w:rFonts w:ascii="Arial" w:eastAsia="Times New Roman" w:hAnsi="Arial" w:cs="Arial"/>
          <w:lang w:eastAsia="en-AU"/>
        </w:rPr>
        <w:t xml:space="preserve"> </w:t>
      </w:r>
    </w:p>
    <w:p w14:paraId="587908A4" w14:textId="4EF105C9" w:rsidR="00D122D3" w:rsidRPr="00D122D3" w:rsidRDefault="00D122D3" w:rsidP="00791A96">
      <w:pPr>
        <w:numPr>
          <w:ilvl w:val="0"/>
          <w:numId w:val="11"/>
        </w:numPr>
        <w:shd w:val="clear" w:color="auto" w:fill="FFFFFF"/>
        <w:spacing w:after="120" w:line="276" w:lineRule="auto"/>
        <w:jc w:val="both"/>
        <w:rPr>
          <w:rFonts w:ascii="Arial" w:eastAsia="Times New Roman" w:hAnsi="Arial" w:cs="Arial"/>
          <w:lang w:eastAsia="en-AU"/>
        </w:rPr>
      </w:pPr>
      <w:r w:rsidRPr="00D122D3">
        <w:rPr>
          <w:rFonts w:ascii="Arial" w:eastAsia="Times New Roman" w:hAnsi="Arial" w:cs="Arial"/>
          <w:lang w:eastAsia="en-AU"/>
        </w:rPr>
        <w:t>Raising awareness about the impacts of poor body image for young women and its drivers, including sexualisation, gender inequality, racism and ableism</w:t>
      </w:r>
      <w:r w:rsidR="00177C08">
        <w:rPr>
          <w:rFonts w:ascii="Arial" w:eastAsia="Times New Roman" w:hAnsi="Arial" w:cs="Arial"/>
          <w:lang w:eastAsia="en-AU"/>
        </w:rPr>
        <w:t>;</w:t>
      </w:r>
      <w:r w:rsidRPr="00D122D3">
        <w:rPr>
          <w:rFonts w:ascii="Arial" w:eastAsia="Times New Roman" w:hAnsi="Arial" w:cs="Arial"/>
          <w:lang w:eastAsia="en-AU"/>
        </w:rPr>
        <w:t xml:space="preserve"> </w:t>
      </w:r>
    </w:p>
    <w:p w14:paraId="4096948E" w14:textId="32E8F71E" w:rsidR="003F5CA3" w:rsidRPr="00177C08" w:rsidRDefault="00D122D3" w:rsidP="002D39EC">
      <w:pPr>
        <w:numPr>
          <w:ilvl w:val="0"/>
          <w:numId w:val="11"/>
        </w:numPr>
        <w:spacing w:after="120" w:line="276" w:lineRule="auto"/>
        <w:jc w:val="both"/>
        <w:rPr>
          <w:rFonts w:ascii="Arial" w:eastAsia="Times New Roman" w:hAnsi="Arial" w:cs="Arial"/>
        </w:rPr>
      </w:pPr>
      <w:r w:rsidRPr="00177C08">
        <w:rPr>
          <w:rFonts w:ascii="Arial" w:eastAsia="Times New Roman" w:hAnsi="Arial" w:cs="Arial"/>
          <w:lang w:eastAsia="en-AU"/>
        </w:rPr>
        <w:lastRenderedPageBreak/>
        <w:t xml:space="preserve">Providing ongoing investment to multilingual and ethno-specific organisations to facilitate innovative, tailored </w:t>
      </w:r>
      <w:r w:rsidR="00177C08" w:rsidRPr="00177C08">
        <w:rPr>
          <w:rFonts w:ascii="Arial" w:eastAsia="Times New Roman" w:hAnsi="Arial" w:cs="Arial"/>
          <w:lang w:eastAsia="en-AU"/>
        </w:rPr>
        <w:t xml:space="preserve">mental health promotion </w:t>
      </w:r>
      <w:r w:rsidRPr="00177C08">
        <w:rPr>
          <w:rFonts w:ascii="Arial" w:eastAsia="Times New Roman" w:hAnsi="Arial" w:cs="Arial"/>
          <w:lang w:eastAsia="en-AU"/>
        </w:rPr>
        <w:t>programs</w:t>
      </w:r>
      <w:r w:rsidR="00177C08" w:rsidRPr="00177C08">
        <w:rPr>
          <w:rFonts w:ascii="Arial" w:eastAsia="Times New Roman" w:hAnsi="Arial" w:cs="Arial"/>
          <w:lang w:eastAsia="en-AU"/>
        </w:rPr>
        <w:t>;</w:t>
      </w:r>
      <w:r w:rsidRPr="00D122D3">
        <w:rPr>
          <w:rFonts w:ascii="Arial" w:eastAsia="Times New Roman" w:hAnsi="Arial" w:cs="Arial"/>
          <w:vertAlign w:val="superscript"/>
          <w:lang w:eastAsia="en-AU"/>
        </w:rPr>
        <w:footnoteReference w:id="110"/>
      </w:r>
      <w:r w:rsidRPr="00177C08">
        <w:rPr>
          <w:rFonts w:ascii="Arial" w:eastAsia="Times New Roman" w:hAnsi="Arial" w:cs="Arial"/>
          <w:lang w:eastAsia="en-AU"/>
        </w:rPr>
        <w:t xml:space="preserve"> </w:t>
      </w:r>
    </w:p>
    <w:p w14:paraId="726D6252" w14:textId="2553FB9A" w:rsidR="00D122D3" w:rsidRPr="00177C08" w:rsidRDefault="00D122D3" w:rsidP="00791A96">
      <w:pPr>
        <w:numPr>
          <w:ilvl w:val="0"/>
          <w:numId w:val="11"/>
        </w:numPr>
        <w:spacing w:after="120" w:line="276" w:lineRule="auto"/>
        <w:jc w:val="both"/>
        <w:rPr>
          <w:rFonts w:ascii="Arial" w:eastAsia="Times New Roman" w:hAnsi="Arial" w:cs="Arial"/>
        </w:rPr>
      </w:pPr>
      <w:r w:rsidRPr="00D122D3">
        <w:rPr>
          <w:rFonts w:ascii="Arial" w:eastAsia="Times New Roman" w:hAnsi="Arial" w:cs="Arial"/>
        </w:rPr>
        <w:t xml:space="preserve">Investing in </w:t>
      </w:r>
      <w:r w:rsidR="00177C08" w:rsidRPr="00D122D3">
        <w:rPr>
          <w:rFonts w:ascii="Arial" w:eastAsia="Times New Roman" w:hAnsi="Arial" w:cs="Arial"/>
        </w:rPr>
        <w:t xml:space="preserve">research examining why young women experience mental health problems at almost double the </w:t>
      </w:r>
      <w:r w:rsidR="00177C08">
        <w:rPr>
          <w:rFonts w:ascii="Arial" w:eastAsia="Times New Roman" w:hAnsi="Arial" w:cs="Arial"/>
        </w:rPr>
        <w:t>rates</w:t>
      </w:r>
      <w:r w:rsidR="00177C08" w:rsidRPr="00D122D3">
        <w:rPr>
          <w:rFonts w:ascii="Arial" w:eastAsia="Times New Roman" w:hAnsi="Arial" w:cs="Arial"/>
        </w:rPr>
        <w:t xml:space="preserve"> of young men</w:t>
      </w:r>
      <w:r w:rsidR="00177C08">
        <w:rPr>
          <w:rFonts w:ascii="Arial" w:eastAsia="Times New Roman" w:hAnsi="Arial" w:cs="Arial"/>
        </w:rPr>
        <w:t>,</w:t>
      </w:r>
      <w:r w:rsidR="00177C08" w:rsidRPr="00D122D3">
        <w:rPr>
          <w:rFonts w:ascii="Arial" w:hAnsi="Arial" w:cs="Arial"/>
          <w:vertAlign w:val="superscript"/>
        </w:rPr>
        <w:footnoteReference w:id="111"/>
      </w:r>
      <w:r w:rsidR="00177C08">
        <w:rPr>
          <w:rFonts w:ascii="Arial" w:eastAsia="Times New Roman" w:hAnsi="Arial" w:cs="Arial"/>
        </w:rPr>
        <w:t xml:space="preserve"> and</w:t>
      </w:r>
      <w:r w:rsidR="00177C08" w:rsidRPr="00D122D3">
        <w:rPr>
          <w:rFonts w:ascii="Arial" w:eastAsia="Times New Roman" w:hAnsi="Arial" w:cs="Arial"/>
        </w:rPr>
        <w:t xml:space="preserve"> </w:t>
      </w:r>
      <w:r w:rsidRPr="00D122D3">
        <w:rPr>
          <w:rFonts w:ascii="Arial" w:eastAsia="Times New Roman" w:hAnsi="Arial" w:cs="Arial"/>
        </w:rPr>
        <w:t xml:space="preserve">building the evidence base for gender-sensitive approaches to support the mental health of women and girls. </w:t>
      </w:r>
    </w:p>
    <w:p w14:paraId="6961C68B" w14:textId="5BD56A18" w:rsidR="00D122D3" w:rsidRPr="00D122D3" w:rsidRDefault="00D122D3" w:rsidP="00D64558">
      <w:pPr>
        <w:spacing w:after="120" w:line="276" w:lineRule="auto"/>
        <w:jc w:val="both"/>
        <w:rPr>
          <w:rFonts w:ascii="Arial" w:hAnsi="Arial" w:cs="Arial"/>
          <w:color w:val="ED7D31" w:themeColor="accent2"/>
          <w:sz w:val="24"/>
          <w:szCs w:val="24"/>
        </w:rPr>
      </w:pPr>
      <w:r w:rsidRPr="00D122D3">
        <w:rPr>
          <w:rFonts w:ascii="Arial" w:hAnsi="Arial" w:cs="Arial"/>
          <w:color w:val="ED7D31" w:themeColor="accent2"/>
          <w:sz w:val="24"/>
          <w:szCs w:val="24"/>
        </w:rPr>
        <w:t>3. Take an intersectional, trauma-informed and gender-responsive approach to delivery of youth mental health services. Service</w:t>
      </w:r>
      <w:r w:rsidR="00177C08">
        <w:rPr>
          <w:rFonts w:ascii="Arial" w:hAnsi="Arial" w:cs="Arial"/>
          <w:color w:val="ED7D31" w:themeColor="accent2"/>
          <w:sz w:val="24"/>
          <w:szCs w:val="24"/>
        </w:rPr>
        <w:t>s</w:t>
      </w:r>
      <w:r w:rsidRPr="00D122D3">
        <w:rPr>
          <w:rFonts w:ascii="Arial" w:hAnsi="Arial" w:cs="Arial"/>
          <w:color w:val="ED7D31" w:themeColor="accent2"/>
          <w:sz w:val="24"/>
          <w:szCs w:val="24"/>
        </w:rPr>
        <w:t xml:space="preserve"> should:</w:t>
      </w:r>
    </w:p>
    <w:p w14:paraId="7F4434D7" w14:textId="40ECABBE" w:rsidR="00177C08" w:rsidRPr="00D122D3" w:rsidRDefault="00177C08" w:rsidP="00D64558">
      <w:pPr>
        <w:numPr>
          <w:ilvl w:val="0"/>
          <w:numId w:val="11"/>
        </w:numPr>
        <w:spacing w:after="120" w:line="276" w:lineRule="auto"/>
        <w:jc w:val="both"/>
        <w:rPr>
          <w:rFonts w:ascii="Arial" w:eastAsia="Times New Roman" w:hAnsi="Arial" w:cs="Arial"/>
          <w:lang w:eastAsia="en-AU"/>
        </w:rPr>
      </w:pPr>
      <w:r w:rsidRPr="00D64558">
        <w:rPr>
          <w:rFonts w:ascii="Arial" w:eastAsia="Times New Roman" w:hAnsi="Arial" w:cs="Arial"/>
          <w:lang w:eastAsia="en-AU"/>
        </w:rPr>
        <w:t>Be gender-responsive: This involves understanding mental distress within the context of young women’s lives and addressing the mental health impacts of gendered experiences including sexual abuse, family violence and poor body image</w:t>
      </w:r>
      <w:r w:rsidR="00BE7BFA" w:rsidRPr="00D64558">
        <w:rPr>
          <w:rFonts w:ascii="Arial" w:eastAsia="Times New Roman" w:hAnsi="Arial" w:cs="Arial"/>
          <w:lang w:eastAsia="en-AU"/>
        </w:rPr>
        <w:t>.</w:t>
      </w:r>
    </w:p>
    <w:p w14:paraId="554CC7B7" w14:textId="17D2A01D" w:rsidR="00C370FE" w:rsidRPr="00C370FE" w:rsidRDefault="00177C08" w:rsidP="00D64558">
      <w:pPr>
        <w:numPr>
          <w:ilvl w:val="0"/>
          <w:numId w:val="11"/>
        </w:numPr>
        <w:spacing w:after="120" w:line="276" w:lineRule="auto"/>
        <w:jc w:val="both"/>
        <w:rPr>
          <w:rFonts w:ascii="Arial" w:eastAsia="Times New Roman" w:hAnsi="Arial" w:cs="Arial"/>
          <w:lang w:eastAsia="en-AU"/>
        </w:rPr>
      </w:pPr>
      <w:r w:rsidRPr="00D64558">
        <w:rPr>
          <w:rFonts w:ascii="Arial" w:eastAsia="Times New Roman" w:hAnsi="Arial" w:cs="Arial"/>
          <w:lang w:eastAsia="en-AU"/>
        </w:rPr>
        <w:t xml:space="preserve">Be trauma-informed: </w:t>
      </w:r>
      <w:r w:rsidR="00C370FE" w:rsidRPr="00D64558">
        <w:rPr>
          <w:rFonts w:ascii="Arial" w:eastAsia="Times New Roman" w:hAnsi="Arial" w:cs="Arial"/>
          <w:lang w:eastAsia="en-AU"/>
        </w:rPr>
        <w:t>A trauma-informed approach requires an awareness of a person’s history of trauma and understanding the impact that violence and victimisation has in their lives. The aim is to move away from a victim-blaming deficit focus towards a strengths-based approach, asking ‘what has happened to you?’ rather than ‘what is wrong with you?’</w:t>
      </w:r>
      <w:r w:rsidR="00C370FE" w:rsidRPr="00D64558">
        <w:rPr>
          <w:rFonts w:eastAsia="Times New Roman"/>
          <w:vertAlign w:val="superscript"/>
          <w:lang w:eastAsia="en-AU"/>
        </w:rPr>
        <w:footnoteReference w:id="112"/>
      </w:r>
      <w:r w:rsidR="00C370FE" w:rsidRPr="00D64558">
        <w:rPr>
          <w:rFonts w:ascii="Arial" w:eastAsia="Times New Roman" w:hAnsi="Arial" w:cs="Arial"/>
          <w:vertAlign w:val="superscript"/>
          <w:lang w:eastAsia="en-AU"/>
        </w:rPr>
        <w:t xml:space="preserve"> </w:t>
      </w:r>
    </w:p>
    <w:p w14:paraId="670AABEB" w14:textId="75624061" w:rsidR="00D122D3" w:rsidRPr="00C370FE" w:rsidRDefault="00D122D3" w:rsidP="00D64558">
      <w:pPr>
        <w:numPr>
          <w:ilvl w:val="0"/>
          <w:numId w:val="11"/>
        </w:numPr>
        <w:spacing w:after="120" w:line="276" w:lineRule="auto"/>
        <w:jc w:val="both"/>
        <w:rPr>
          <w:rFonts w:ascii="Arial" w:eastAsia="Times New Roman" w:hAnsi="Arial" w:cs="Arial"/>
          <w:lang w:eastAsia="en-AU"/>
        </w:rPr>
      </w:pPr>
      <w:r w:rsidRPr="00C370FE">
        <w:rPr>
          <w:rFonts w:ascii="Arial" w:eastAsia="Times New Roman" w:hAnsi="Arial" w:cs="Arial"/>
          <w:lang w:eastAsia="en-AU"/>
        </w:rPr>
        <w:t xml:space="preserve">Be culturally safe and relevant to the communities they serve. This includes not just having access to qualified interpreters, but ensuring that bi-lingual and bi-cultural workers with expertise in women’s mental health operate in all major mental health services. Multilingual health information and resources must be available and provided in a wide range of community languages. </w:t>
      </w:r>
    </w:p>
    <w:p w14:paraId="3468A375" w14:textId="77777777" w:rsidR="00D122D3" w:rsidRPr="00D122D3" w:rsidRDefault="00D122D3" w:rsidP="00D64558">
      <w:pPr>
        <w:numPr>
          <w:ilvl w:val="0"/>
          <w:numId w:val="11"/>
        </w:numPr>
        <w:spacing w:after="120" w:line="276" w:lineRule="auto"/>
        <w:jc w:val="both"/>
        <w:rPr>
          <w:rFonts w:ascii="Arial" w:eastAsia="Times New Roman" w:hAnsi="Arial" w:cs="Arial"/>
          <w:lang w:eastAsia="en-AU"/>
        </w:rPr>
      </w:pPr>
      <w:r w:rsidRPr="00D64558">
        <w:rPr>
          <w:rFonts w:ascii="Arial" w:eastAsia="Times New Roman" w:hAnsi="Arial" w:cs="Arial"/>
          <w:lang w:eastAsia="en-AU"/>
        </w:rPr>
        <w:t>Build the evidence-base for gender-sensitive interventions and supports for young women. Despite widespread acceptance of gender as a key determinant of mental health, there is little evidence about effective gender-sensitive interventions.</w:t>
      </w:r>
    </w:p>
    <w:p w14:paraId="76FD1268" w14:textId="0F5D5B95" w:rsidR="003F5CA3" w:rsidRPr="00177C08" w:rsidRDefault="00D122D3" w:rsidP="00D64558">
      <w:pPr>
        <w:numPr>
          <w:ilvl w:val="0"/>
          <w:numId w:val="11"/>
        </w:numPr>
        <w:spacing w:after="120" w:line="276" w:lineRule="auto"/>
        <w:jc w:val="both"/>
        <w:rPr>
          <w:rFonts w:ascii="Arial" w:eastAsia="Times New Roman" w:hAnsi="Arial" w:cs="Arial"/>
          <w:lang w:eastAsia="en-AU"/>
        </w:rPr>
      </w:pPr>
      <w:r w:rsidRPr="00D122D3">
        <w:rPr>
          <w:rFonts w:ascii="Arial" w:eastAsia="Times New Roman" w:hAnsi="Arial" w:cs="Arial"/>
          <w:lang w:eastAsia="en-AU"/>
        </w:rPr>
        <w:t>Work in partnership with organisations with specialist expertise on the needs of specific groups of young women, such as Aboriginal women and women from newly arrived and migrant backgrounds, to ensure that services are culturally safe</w:t>
      </w:r>
      <w:r w:rsidR="00C370FE">
        <w:rPr>
          <w:rFonts w:ascii="Arial" w:eastAsia="Times New Roman" w:hAnsi="Arial" w:cs="Arial"/>
          <w:lang w:eastAsia="en-AU"/>
        </w:rPr>
        <w:t xml:space="preserve"> and appropriate referrals are made</w:t>
      </w:r>
      <w:r w:rsidRPr="00D122D3">
        <w:rPr>
          <w:rFonts w:ascii="Arial" w:eastAsia="Times New Roman" w:hAnsi="Arial" w:cs="Arial"/>
          <w:lang w:eastAsia="en-AU"/>
        </w:rPr>
        <w:t>.</w:t>
      </w:r>
    </w:p>
    <w:p w14:paraId="5FC7854C" w14:textId="4F720ABD" w:rsidR="003F5CA3" w:rsidRPr="00177C08" w:rsidRDefault="00D122D3" w:rsidP="00D64558">
      <w:pPr>
        <w:numPr>
          <w:ilvl w:val="0"/>
          <w:numId w:val="11"/>
        </w:numPr>
        <w:spacing w:after="120" w:line="276" w:lineRule="auto"/>
        <w:jc w:val="both"/>
        <w:rPr>
          <w:rFonts w:ascii="Arial" w:eastAsia="Times New Roman" w:hAnsi="Arial" w:cs="Arial"/>
          <w:lang w:eastAsia="en-AU"/>
        </w:rPr>
      </w:pPr>
      <w:r w:rsidRPr="00D122D3">
        <w:rPr>
          <w:rFonts w:ascii="Arial" w:eastAsia="Times New Roman" w:hAnsi="Arial" w:cs="Arial"/>
          <w:lang w:eastAsia="en-AU"/>
        </w:rPr>
        <w:t>Be co-designed with young women</w:t>
      </w:r>
      <w:r w:rsidR="00C370FE">
        <w:rPr>
          <w:rFonts w:ascii="Arial" w:eastAsia="Times New Roman" w:hAnsi="Arial" w:cs="Arial"/>
          <w:lang w:eastAsia="en-AU"/>
        </w:rPr>
        <w:t xml:space="preserve">, </w:t>
      </w:r>
      <w:r w:rsidRPr="00D122D3">
        <w:rPr>
          <w:rFonts w:ascii="Arial" w:eastAsia="Times New Roman" w:hAnsi="Arial" w:cs="Arial"/>
          <w:lang w:eastAsia="en-AU"/>
        </w:rPr>
        <w:t>enabl</w:t>
      </w:r>
      <w:r w:rsidR="00C370FE">
        <w:rPr>
          <w:rFonts w:ascii="Arial" w:eastAsia="Times New Roman" w:hAnsi="Arial" w:cs="Arial"/>
          <w:lang w:eastAsia="en-AU"/>
        </w:rPr>
        <w:t>ing them</w:t>
      </w:r>
      <w:r w:rsidRPr="00D122D3">
        <w:rPr>
          <w:rFonts w:ascii="Arial" w:eastAsia="Times New Roman" w:hAnsi="Arial" w:cs="Arial"/>
          <w:lang w:eastAsia="en-AU"/>
        </w:rPr>
        <w:t xml:space="preserve"> to be involved in initiatives intended to promote good mental health and to make choices about </w:t>
      </w:r>
      <w:r w:rsidR="00C370FE">
        <w:rPr>
          <w:rFonts w:ascii="Arial" w:eastAsia="Times New Roman" w:hAnsi="Arial" w:cs="Arial"/>
          <w:lang w:eastAsia="en-AU"/>
        </w:rPr>
        <w:t xml:space="preserve">their </w:t>
      </w:r>
      <w:r w:rsidRPr="00D122D3">
        <w:rPr>
          <w:rFonts w:ascii="Arial" w:eastAsia="Times New Roman" w:hAnsi="Arial" w:cs="Arial"/>
          <w:lang w:eastAsia="en-AU"/>
        </w:rPr>
        <w:t>mental health care and treatment</w:t>
      </w:r>
      <w:r w:rsidR="002A47A1">
        <w:rPr>
          <w:rFonts w:ascii="Arial" w:eastAsia="Times New Roman" w:hAnsi="Arial" w:cs="Arial"/>
          <w:lang w:eastAsia="en-AU"/>
        </w:rPr>
        <w:t>.</w:t>
      </w:r>
    </w:p>
    <w:p w14:paraId="0F533396" w14:textId="29383C50" w:rsidR="00BE7BFA" w:rsidRPr="00177C08" w:rsidRDefault="00BE7BFA" w:rsidP="00D64558">
      <w:pPr>
        <w:numPr>
          <w:ilvl w:val="0"/>
          <w:numId w:val="11"/>
        </w:numPr>
        <w:spacing w:after="120" w:line="276" w:lineRule="auto"/>
        <w:jc w:val="both"/>
        <w:rPr>
          <w:rFonts w:ascii="Arial" w:eastAsia="Times New Roman" w:hAnsi="Arial" w:cs="Arial"/>
          <w:lang w:eastAsia="en-AU"/>
        </w:rPr>
      </w:pPr>
      <w:r>
        <w:rPr>
          <w:rFonts w:ascii="Arial" w:eastAsia="Times New Roman" w:hAnsi="Arial" w:cs="Arial"/>
          <w:lang w:eastAsia="en-AU"/>
        </w:rPr>
        <w:t>U</w:t>
      </w:r>
      <w:r w:rsidRPr="00D122D3">
        <w:rPr>
          <w:rFonts w:ascii="Arial" w:eastAsia="Times New Roman" w:hAnsi="Arial" w:cs="Arial"/>
          <w:lang w:eastAsia="en-AU"/>
        </w:rPr>
        <w:t>nderstand that many mental health conditions are comorbid with each other</w:t>
      </w:r>
      <w:r w:rsidRPr="00BE7BFA">
        <w:rPr>
          <w:rFonts w:ascii="Arial" w:eastAsia="Times New Roman" w:hAnsi="Arial" w:cs="Arial"/>
          <w:lang w:eastAsia="en-AU"/>
        </w:rPr>
        <w:t xml:space="preserve"> </w:t>
      </w:r>
      <w:r>
        <w:rPr>
          <w:rFonts w:ascii="Arial" w:eastAsia="Times New Roman" w:hAnsi="Arial" w:cs="Arial"/>
          <w:lang w:eastAsia="en-AU"/>
        </w:rPr>
        <w:t xml:space="preserve">– and with physical health conditions – </w:t>
      </w:r>
      <w:r w:rsidRPr="00D122D3">
        <w:rPr>
          <w:rFonts w:ascii="Arial" w:eastAsia="Times New Roman" w:hAnsi="Arial" w:cs="Arial"/>
          <w:lang w:eastAsia="en-AU"/>
        </w:rPr>
        <w:t>and</w:t>
      </w:r>
      <w:r>
        <w:rPr>
          <w:rFonts w:ascii="Arial" w:eastAsia="Times New Roman" w:hAnsi="Arial" w:cs="Arial"/>
          <w:lang w:eastAsia="en-AU"/>
        </w:rPr>
        <w:t xml:space="preserve"> </w:t>
      </w:r>
      <w:r w:rsidRPr="00D122D3">
        <w:rPr>
          <w:rFonts w:ascii="Arial" w:eastAsia="Times New Roman" w:hAnsi="Arial" w:cs="Arial"/>
          <w:lang w:eastAsia="en-AU"/>
        </w:rPr>
        <w:t>must be treated together</w:t>
      </w:r>
      <w:r>
        <w:rPr>
          <w:rFonts w:ascii="Arial" w:eastAsia="Times New Roman" w:hAnsi="Arial" w:cs="Arial"/>
          <w:lang w:eastAsia="en-AU"/>
        </w:rPr>
        <w:t>.</w:t>
      </w:r>
      <w:r w:rsidRPr="00D122D3">
        <w:rPr>
          <w:rFonts w:ascii="Arial" w:eastAsia="Times New Roman" w:hAnsi="Arial" w:cs="Arial"/>
          <w:lang w:eastAsia="en-AU"/>
        </w:rPr>
        <w:t xml:space="preserve"> </w:t>
      </w:r>
    </w:p>
    <w:p w14:paraId="5EAC5B39" w14:textId="52855DA2" w:rsidR="003F5CA3" w:rsidRPr="00177C08" w:rsidRDefault="00D122D3" w:rsidP="00D64558">
      <w:pPr>
        <w:numPr>
          <w:ilvl w:val="0"/>
          <w:numId w:val="11"/>
        </w:numPr>
        <w:spacing w:after="120" w:line="276" w:lineRule="auto"/>
        <w:jc w:val="both"/>
        <w:rPr>
          <w:rFonts w:ascii="Arial" w:eastAsia="Times New Roman" w:hAnsi="Arial" w:cs="Arial"/>
          <w:lang w:eastAsia="en-AU"/>
        </w:rPr>
      </w:pPr>
      <w:r w:rsidRPr="00D122D3">
        <w:rPr>
          <w:rFonts w:ascii="Arial" w:eastAsia="Times New Roman" w:hAnsi="Arial" w:cs="Arial"/>
          <w:lang w:eastAsia="en-AU"/>
        </w:rPr>
        <w:lastRenderedPageBreak/>
        <w:t xml:space="preserve">Ensure staff </w:t>
      </w:r>
      <w:r w:rsidR="00BE7BFA">
        <w:rPr>
          <w:rFonts w:ascii="Arial" w:eastAsia="Times New Roman" w:hAnsi="Arial" w:cs="Arial"/>
          <w:lang w:eastAsia="en-AU"/>
        </w:rPr>
        <w:t xml:space="preserve">understand the importance of </w:t>
      </w:r>
      <w:r w:rsidR="00BE7BFA" w:rsidRPr="00D122D3">
        <w:rPr>
          <w:rFonts w:ascii="Arial" w:eastAsia="Times New Roman" w:hAnsi="Arial" w:cs="Arial"/>
          <w:lang w:eastAsia="en-AU"/>
        </w:rPr>
        <w:t>gender-responsive</w:t>
      </w:r>
      <w:r w:rsidR="00BE7BFA">
        <w:rPr>
          <w:rFonts w:ascii="Arial" w:eastAsia="Times New Roman" w:hAnsi="Arial" w:cs="Arial"/>
          <w:lang w:eastAsia="en-AU"/>
        </w:rPr>
        <w:t>, trauma-informed and culturally safe services a</w:t>
      </w:r>
      <w:r w:rsidRPr="00D122D3">
        <w:rPr>
          <w:rFonts w:ascii="Arial" w:eastAsia="Times New Roman" w:hAnsi="Arial" w:cs="Arial"/>
          <w:lang w:eastAsia="en-AU"/>
        </w:rPr>
        <w:t xml:space="preserve">nd </w:t>
      </w:r>
      <w:r w:rsidR="00BE7BFA">
        <w:rPr>
          <w:rFonts w:ascii="Arial" w:eastAsia="Times New Roman" w:hAnsi="Arial" w:cs="Arial"/>
          <w:lang w:eastAsia="en-AU"/>
        </w:rPr>
        <w:t xml:space="preserve">are trained in </w:t>
      </w:r>
      <w:r w:rsidRPr="00D122D3">
        <w:rPr>
          <w:rFonts w:ascii="Arial" w:eastAsia="Times New Roman" w:hAnsi="Arial" w:cs="Arial"/>
          <w:lang w:eastAsia="en-AU"/>
        </w:rPr>
        <w:t>how to deliver such services</w:t>
      </w:r>
      <w:r w:rsidR="00BE7BFA">
        <w:rPr>
          <w:rFonts w:ascii="Arial" w:eastAsia="Times New Roman" w:hAnsi="Arial" w:cs="Arial"/>
          <w:lang w:eastAsia="en-AU"/>
        </w:rPr>
        <w:t>.</w:t>
      </w:r>
    </w:p>
    <w:p w14:paraId="4691DFE3" w14:textId="6D6E9F4D" w:rsidR="00BE7BFA" w:rsidRDefault="00D122D3" w:rsidP="00D64558">
      <w:pPr>
        <w:numPr>
          <w:ilvl w:val="0"/>
          <w:numId w:val="11"/>
        </w:numPr>
        <w:spacing w:after="120" w:line="276" w:lineRule="auto"/>
        <w:jc w:val="both"/>
        <w:rPr>
          <w:rFonts w:ascii="Arial" w:eastAsia="Times New Roman" w:hAnsi="Arial" w:cs="Arial"/>
          <w:lang w:eastAsia="en-AU"/>
        </w:rPr>
      </w:pPr>
      <w:r w:rsidRPr="00D122D3">
        <w:rPr>
          <w:rFonts w:ascii="Arial" w:eastAsia="Times New Roman" w:hAnsi="Arial" w:cs="Arial"/>
          <w:lang w:eastAsia="en-AU"/>
        </w:rPr>
        <w:t>Be holistic and have appropriate warm referral capabilities with other services e.g. housing, family violence</w:t>
      </w:r>
      <w:r w:rsidR="00BE7BFA">
        <w:rPr>
          <w:rFonts w:ascii="Arial" w:eastAsia="Times New Roman" w:hAnsi="Arial" w:cs="Arial"/>
          <w:lang w:eastAsia="en-AU"/>
        </w:rPr>
        <w:t xml:space="preserve"> and sexual assault services</w:t>
      </w:r>
      <w:r w:rsidRPr="00D122D3">
        <w:rPr>
          <w:rFonts w:ascii="Arial" w:eastAsia="Times New Roman" w:hAnsi="Arial" w:cs="Arial"/>
          <w:lang w:eastAsia="en-AU"/>
        </w:rPr>
        <w:t>, financial</w:t>
      </w:r>
      <w:r w:rsidR="00BE7BFA">
        <w:rPr>
          <w:rFonts w:ascii="Arial" w:eastAsia="Times New Roman" w:hAnsi="Arial" w:cs="Arial"/>
          <w:lang w:eastAsia="en-AU"/>
        </w:rPr>
        <w:t xml:space="preserve"> counselling</w:t>
      </w:r>
      <w:r w:rsidRPr="00D122D3">
        <w:rPr>
          <w:rFonts w:ascii="Arial" w:eastAsia="Times New Roman" w:hAnsi="Arial" w:cs="Arial"/>
          <w:lang w:eastAsia="en-AU"/>
        </w:rPr>
        <w:t xml:space="preserve"> etc. </w:t>
      </w:r>
    </w:p>
    <w:p w14:paraId="5475167C" w14:textId="2AEC8790" w:rsidR="00D64558" w:rsidRPr="00D64558" w:rsidRDefault="00D122D3" w:rsidP="00D64558">
      <w:pPr>
        <w:pStyle w:val="ListParagraph"/>
        <w:numPr>
          <w:ilvl w:val="0"/>
          <w:numId w:val="15"/>
        </w:numPr>
        <w:spacing w:after="120" w:line="276" w:lineRule="auto"/>
        <w:jc w:val="both"/>
        <w:rPr>
          <w:rFonts w:ascii="Arial" w:hAnsi="Arial" w:cs="Arial"/>
          <w:color w:val="ED7D31" w:themeColor="accent2"/>
          <w:sz w:val="24"/>
          <w:szCs w:val="24"/>
        </w:rPr>
      </w:pPr>
      <w:r w:rsidRPr="00D64558">
        <w:rPr>
          <w:rFonts w:ascii="Arial" w:hAnsi="Arial" w:cs="Arial"/>
          <w:color w:val="ED7D31" w:themeColor="accent2"/>
          <w:sz w:val="24"/>
          <w:szCs w:val="24"/>
        </w:rPr>
        <w:t xml:space="preserve">Address barriers to help-seeking among young women </w:t>
      </w:r>
      <w:bookmarkEnd w:id="25"/>
    </w:p>
    <w:p w14:paraId="4FC40DDD" w14:textId="18501CFF" w:rsidR="00BE7BFA" w:rsidRPr="00D64558" w:rsidRDefault="00BE7BFA" w:rsidP="00D64558">
      <w:pPr>
        <w:numPr>
          <w:ilvl w:val="0"/>
          <w:numId w:val="11"/>
        </w:numPr>
        <w:spacing w:after="120" w:line="276" w:lineRule="auto"/>
        <w:jc w:val="both"/>
        <w:rPr>
          <w:rFonts w:ascii="Arial" w:eastAsia="Times New Roman" w:hAnsi="Arial" w:cs="Arial"/>
          <w:lang w:eastAsia="en-AU"/>
        </w:rPr>
      </w:pPr>
      <w:r w:rsidRPr="00D64558">
        <w:rPr>
          <w:rFonts w:ascii="Arial" w:eastAsia="Times New Roman" w:hAnsi="Arial" w:cs="Arial"/>
          <w:lang w:eastAsia="en-AU"/>
        </w:rPr>
        <w:t xml:space="preserve">Provide gender-sensitivity training for </w:t>
      </w:r>
      <w:r w:rsidR="00D64558" w:rsidRPr="00D64558">
        <w:rPr>
          <w:rFonts w:ascii="Arial" w:eastAsia="Times New Roman" w:hAnsi="Arial" w:cs="Arial"/>
          <w:lang w:eastAsia="en-AU"/>
        </w:rPr>
        <w:t xml:space="preserve">health and </w:t>
      </w:r>
      <w:r w:rsidRPr="00D64558">
        <w:rPr>
          <w:rFonts w:ascii="Arial" w:eastAsia="Times New Roman" w:hAnsi="Arial" w:cs="Arial"/>
          <w:lang w:eastAsia="en-AU"/>
        </w:rPr>
        <w:t>mental health workforces that addresses harmful attitudes and gender stereotypes</w:t>
      </w:r>
      <w:r w:rsidR="00D64558" w:rsidRPr="00D64558">
        <w:rPr>
          <w:rFonts w:ascii="Arial" w:eastAsia="Times New Roman" w:hAnsi="Arial" w:cs="Arial"/>
          <w:lang w:eastAsia="en-AU"/>
        </w:rPr>
        <w:t xml:space="preserve"> and encourages them to take young women’s experiences seriously</w:t>
      </w:r>
      <w:r w:rsidRPr="00D64558">
        <w:rPr>
          <w:rFonts w:ascii="Arial" w:eastAsia="Times New Roman" w:hAnsi="Arial" w:cs="Arial"/>
          <w:lang w:eastAsia="en-AU"/>
        </w:rPr>
        <w:t xml:space="preserve">, as well as </w:t>
      </w:r>
      <w:r w:rsidR="00D64558" w:rsidRPr="00D64558">
        <w:rPr>
          <w:rFonts w:ascii="Arial" w:eastAsia="Times New Roman" w:hAnsi="Arial" w:cs="Arial"/>
          <w:lang w:eastAsia="en-AU"/>
        </w:rPr>
        <w:t xml:space="preserve">training them on </w:t>
      </w:r>
      <w:r w:rsidRPr="00D64558">
        <w:rPr>
          <w:rFonts w:ascii="Arial" w:eastAsia="Times New Roman" w:hAnsi="Arial" w:cs="Arial"/>
          <w:lang w:eastAsia="en-AU"/>
        </w:rPr>
        <w:t>how to provide gender-sensitive, non-judgemental mental health support for young women;</w:t>
      </w:r>
    </w:p>
    <w:p w14:paraId="3297CAC9" w14:textId="60B9727C" w:rsidR="00BE7BFA" w:rsidRDefault="00BE7BFA" w:rsidP="00BE7BFA">
      <w:pPr>
        <w:numPr>
          <w:ilvl w:val="0"/>
          <w:numId w:val="11"/>
        </w:numPr>
        <w:spacing w:after="120" w:line="276" w:lineRule="auto"/>
        <w:jc w:val="both"/>
        <w:rPr>
          <w:rFonts w:ascii="Arial" w:eastAsia="Times New Roman" w:hAnsi="Arial" w:cs="Arial"/>
        </w:rPr>
      </w:pPr>
      <w:r>
        <w:rPr>
          <w:rFonts w:ascii="Arial" w:eastAsia="Times New Roman" w:hAnsi="Arial" w:cs="Arial"/>
        </w:rPr>
        <w:t>Embed curriculum on the mental health of women and girls</w:t>
      </w:r>
      <w:r w:rsidR="00D64558">
        <w:rPr>
          <w:rFonts w:ascii="Arial" w:eastAsia="Times New Roman" w:hAnsi="Arial" w:cs="Arial"/>
        </w:rPr>
        <w:t xml:space="preserve"> within medical and other relevant tertiary syllabi;</w:t>
      </w:r>
    </w:p>
    <w:p w14:paraId="4569D7C3" w14:textId="45D0C0A4" w:rsidR="00D64558" w:rsidRPr="00177C08" w:rsidRDefault="00D64558" w:rsidP="00BE7BFA">
      <w:pPr>
        <w:numPr>
          <w:ilvl w:val="0"/>
          <w:numId w:val="11"/>
        </w:numPr>
        <w:spacing w:after="120" w:line="276" w:lineRule="auto"/>
        <w:jc w:val="both"/>
        <w:rPr>
          <w:rFonts w:ascii="Arial" w:eastAsia="Times New Roman" w:hAnsi="Arial" w:cs="Arial"/>
        </w:rPr>
      </w:pPr>
      <w:r>
        <w:rPr>
          <w:rFonts w:ascii="Arial" w:hAnsi="Arial" w:cs="Arial"/>
        </w:rPr>
        <w:t>A</w:t>
      </w:r>
      <w:r w:rsidRPr="00D122D3">
        <w:rPr>
          <w:rFonts w:ascii="Arial" w:hAnsi="Arial" w:cs="Arial"/>
        </w:rPr>
        <w:t>ddress stigma</w:t>
      </w:r>
      <w:r>
        <w:rPr>
          <w:rFonts w:ascii="Arial" w:hAnsi="Arial" w:cs="Arial"/>
        </w:rPr>
        <w:t>,</w:t>
      </w:r>
      <w:r w:rsidRPr="00D122D3">
        <w:rPr>
          <w:rFonts w:ascii="Arial" w:hAnsi="Arial" w:cs="Arial"/>
        </w:rPr>
        <w:t xml:space="preserve"> discrimination</w:t>
      </w:r>
      <w:r>
        <w:rPr>
          <w:rFonts w:ascii="Arial" w:hAnsi="Arial" w:cs="Arial"/>
        </w:rPr>
        <w:t xml:space="preserve"> and fear as barriers to help-seeking;</w:t>
      </w:r>
    </w:p>
    <w:p w14:paraId="4B8A4A00" w14:textId="11CE0D24" w:rsidR="00D122D3" w:rsidRPr="00BE7BFA" w:rsidRDefault="00D122D3" w:rsidP="00BE7BFA">
      <w:pPr>
        <w:numPr>
          <w:ilvl w:val="0"/>
          <w:numId w:val="11"/>
        </w:numPr>
        <w:spacing w:after="120" w:line="276" w:lineRule="auto"/>
        <w:jc w:val="both"/>
        <w:rPr>
          <w:rFonts w:ascii="Arial" w:eastAsia="Times New Roman" w:hAnsi="Arial" w:cs="Arial"/>
        </w:rPr>
      </w:pPr>
      <w:r w:rsidRPr="00BE7BFA">
        <w:rPr>
          <w:rFonts w:ascii="Arial" w:eastAsia="Times New Roman" w:hAnsi="Arial" w:cs="Arial"/>
        </w:rPr>
        <w:t>Improve</w:t>
      </w:r>
      <w:r w:rsidR="00D64558">
        <w:rPr>
          <w:rFonts w:ascii="Arial" w:eastAsia="Times New Roman" w:hAnsi="Arial" w:cs="Arial"/>
        </w:rPr>
        <w:t xml:space="preserve"> the</w:t>
      </w:r>
      <w:r w:rsidRPr="00BE7BFA">
        <w:rPr>
          <w:rFonts w:ascii="Arial" w:eastAsia="Times New Roman" w:hAnsi="Arial" w:cs="Arial"/>
        </w:rPr>
        <w:t xml:space="preserve"> accessibility </w:t>
      </w:r>
      <w:r w:rsidR="00D64558">
        <w:rPr>
          <w:rFonts w:ascii="Arial" w:eastAsia="Times New Roman" w:hAnsi="Arial" w:cs="Arial"/>
        </w:rPr>
        <w:t xml:space="preserve">and affordability </w:t>
      </w:r>
      <w:r w:rsidRPr="00BE7BFA">
        <w:rPr>
          <w:rFonts w:ascii="Arial" w:eastAsia="Times New Roman" w:hAnsi="Arial" w:cs="Arial"/>
        </w:rPr>
        <w:t xml:space="preserve">of </w:t>
      </w:r>
      <w:r w:rsidR="00D64558">
        <w:rPr>
          <w:rFonts w:ascii="Arial" w:eastAsia="Times New Roman" w:hAnsi="Arial" w:cs="Arial"/>
        </w:rPr>
        <w:t xml:space="preserve">mental health </w:t>
      </w:r>
      <w:r w:rsidRPr="00BE7BFA">
        <w:rPr>
          <w:rFonts w:ascii="Arial" w:eastAsia="Times New Roman" w:hAnsi="Arial" w:cs="Arial"/>
        </w:rPr>
        <w:t xml:space="preserve">services, </w:t>
      </w:r>
      <w:r w:rsidR="00D64558">
        <w:rPr>
          <w:rFonts w:ascii="Arial" w:eastAsia="Times New Roman" w:hAnsi="Arial" w:cs="Arial"/>
        </w:rPr>
        <w:t>particularly in rural and regional areas</w:t>
      </w:r>
      <w:r w:rsidRPr="00BE7BFA">
        <w:rPr>
          <w:rFonts w:ascii="Arial" w:eastAsia="Times New Roman" w:hAnsi="Arial" w:cs="Arial"/>
        </w:rPr>
        <w:t>.</w:t>
      </w:r>
    </w:p>
    <w:p w14:paraId="36497989" w14:textId="77777777" w:rsidR="00177C08" w:rsidRDefault="00177C08">
      <w:pPr>
        <w:rPr>
          <w:rFonts w:ascii="Arial" w:eastAsiaTheme="majorEastAsia" w:hAnsi="Arial" w:cstheme="majorBidi"/>
          <w:b/>
          <w:color w:val="ED7D31" w:themeColor="accent2"/>
          <w:sz w:val="36"/>
          <w:szCs w:val="32"/>
        </w:rPr>
      </w:pPr>
      <w:r>
        <w:br w:type="page"/>
      </w:r>
    </w:p>
    <w:p w14:paraId="20C64282" w14:textId="18B01605" w:rsidR="002F48D7" w:rsidRPr="002F48D7" w:rsidRDefault="002F48D7" w:rsidP="00A71BE1">
      <w:pPr>
        <w:pStyle w:val="Heading1"/>
        <w:spacing w:after="120" w:line="276" w:lineRule="auto"/>
        <w:jc w:val="both"/>
      </w:pPr>
      <w:bookmarkStart w:id="26" w:name="_Toc59045880"/>
      <w:r w:rsidRPr="002F48D7">
        <w:lastRenderedPageBreak/>
        <w:t xml:space="preserve">Physical </w:t>
      </w:r>
      <w:r w:rsidR="003555DD">
        <w:t>health</w:t>
      </w:r>
      <w:bookmarkEnd w:id="26"/>
    </w:p>
    <w:p w14:paraId="6F3759FB" w14:textId="5F2850A3" w:rsidR="002F48D7" w:rsidRPr="003555DD" w:rsidRDefault="002F48D7" w:rsidP="00A71BE1">
      <w:pPr>
        <w:pStyle w:val="Heading2"/>
        <w:spacing w:after="120" w:line="276" w:lineRule="auto"/>
        <w:jc w:val="both"/>
        <w:rPr>
          <w:rFonts w:cs="Arial"/>
          <w:b/>
          <w:bCs/>
        </w:rPr>
      </w:pPr>
      <w:bookmarkStart w:id="27" w:name="_Toc59045881"/>
      <w:r w:rsidRPr="003555DD">
        <w:rPr>
          <w:rFonts w:cs="Arial"/>
          <w:b/>
          <w:bCs/>
        </w:rPr>
        <w:t>Overview</w:t>
      </w:r>
      <w:bookmarkEnd w:id="27"/>
      <w:r w:rsidRPr="003555DD">
        <w:rPr>
          <w:rFonts w:cs="Arial"/>
          <w:b/>
          <w:bCs/>
        </w:rPr>
        <w:t xml:space="preserve"> </w:t>
      </w:r>
    </w:p>
    <w:p w14:paraId="70F22C99" w14:textId="682CC4FA" w:rsidR="002F48D7" w:rsidRPr="00AC08C4" w:rsidRDefault="002F48D7" w:rsidP="00A71BE1">
      <w:pPr>
        <w:spacing w:before="120" w:after="120" w:line="276" w:lineRule="auto"/>
        <w:jc w:val="both"/>
        <w:rPr>
          <w:rFonts w:ascii="Arial" w:hAnsi="Arial" w:cs="Arial"/>
        </w:rPr>
      </w:pPr>
      <w:r w:rsidRPr="002F48D7">
        <w:rPr>
          <w:rFonts w:ascii="Arial" w:hAnsi="Arial" w:cs="Arial"/>
        </w:rPr>
        <w:t xml:space="preserve">The onset of puberty can change the way young women feel about their bodies and abilities, as well as how they are treated by others, impacting their health and wellbeing. Regular physical activity is vital for good physical and mental health, however young women report barriers to participation in organised sports and self-directed exercise. For example, parental and individual </w:t>
      </w:r>
      <w:r w:rsidRPr="00AC08C4">
        <w:rPr>
          <w:rFonts w:ascii="Arial" w:hAnsi="Arial" w:cs="Arial"/>
        </w:rPr>
        <w:t>perceptions of safety influence participation in active play. Girls are less likely than boys to report that their parents let them walk or ride to places, or visit local parks on their own.</w:t>
      </w:r>
      <w:r w:rsidRPr="00AC08C4">
        <w:rPr>
          <w:rFonts w:ascii="Arial" w:hAnsi="Arial" w:cs="Arial"/>
          <w:vertAlign w:val="superscript"/>
        </w:rPr>
        <w:footnoteReference w:id="113"/>
      </w:r>
      <w:r w:rsidRPr="00AC08C4">
        <w:rPr>
          <w:rFonts w:ascii="Arial" w:hAnsi="Arial" w:cs="Arial"/>
        </w:rPr>
        <w:t xml:space="preserve"> Feeling unsafe in </w:t>
      </w:r>
      <w:r w:rsidR="008C06B3" w:rsidRPr="00AC08C4">
        <w:rPr>
          <w:rFonts w:ascii="Arial" w:hAnsi="Arial" w:cs="Arial"/>
        </w:rPr>
        <w:t xml:space="preserve">their </w:t>
      </w:r>
      <w:r w:rsidRPr="00AC08C4">
        <w:rPr>
          <w:rFonts w:ascii="Arial" w:hAnsi="Arial" w:cs="Arial"/>
        </w:rPr>
        <w:t>neighbourhood also limits young women’s participation in community life.</w:t>
      </w:r>
    </w:p>
    <w:p w14:paraId="188D9C90" w14:textId="0BCE6D18" w:rsidR="00AC08C4" w:rsidRPr="002F48D7" w:rsidRDefault="00AC08C4" w:rsidP="00A71BE1">
      <w:pPr>
        <w:spacing w:before="120" w:after="120" w:line="276" w:lineRule="auto"/>
        <w:jc w:val="both"/>
        <w:rPr>
          <w:rFonts w:ascii="Arial" w:hAnsi="Arial" w:cs="Arial"/>
          <w:bCs/>
        </w:rPr>
      </w:pPr>
      <w:r w:rsidRPr="717D599A">
        <w:rPr>
          <w:rFonts w:ascii="Arial" w:hAnsi="Arial" w:cs="Arial"/>
        </w:rPr>
        <w:t>Positively, women’s participation in organised sport has grown between 2015 and 2018, with the largest growth in participation rate (6.2%) among girls in the 10–14-year age group.</w:t>
      </w:r>
      <w:r w:rsidRPr="717D599A">
        <w:rPr>
          <w:rFonts w:ascii="Arial" w:hAnsi="Arial" w:cs="Arial"/>
          <w:vertAlign w:val="superscript"/>
        </w:rPr>
        <w:footnoteReference w:id="114"/>
      </w:r>
      <w:r w:rsidRPr="717D599A">
        <w:rPr>
          <w:rFonts w:ascii="Arial" w:hAnsi="Arial" w:cs="Arial"/>
        </w:rPr>
        <w:t xml:space="preserve"> This increase is largely due to increases in girls’ participation in traditionally male-dominated sports such as Australian football, cricket and soccer.</w:t>
      </w:r>
      <w:r w:rsidRPr="717D599A">
        <w:rPr>
          <w:rFonts w:ascii="Arial" w:hAnsi="Arial" w:cs="Arial"/>
          <w:vertAlign w:val="superscript"/>
        </w:rPr>
        <w:footnoteReference w:id="115"/>
      </w:r>
      <w:r w:rsidRPr="717D599A">
        <w:rPr>
          <w:rFonts w:ascii="Arial" w:hAnsi="Arial" w:cs="Arial"/>
        </w:rPr>
        <w:t xml:space="preserve"> This increase also reflects the success of significant policy investment focusing on increasing women’s participation in sport, including </w:t>
      </w:r>
      <w:r w:rsidRPr="717D599A">
        <w:rPr>
          <w:rFonts w:ascii="Arial" w:hAnsi="Arial" w:cs="Arial"/>
          <w:i/>
          <w:iCs/>
        </w:rPr>
        <w:t>This Girl Can</w:t>
      </w:r>
      <w:r w:rsidRPr="717D599A">
        <w:rPr>
          <w:rFonts w:ascii="Arial" w:hAnsi="Arial" w:cs="Arial"/>
        </w:rPr>
        <w:t xml:space="preserve">, the Active Women and Girls program, the </w:t>
      </w:r>
      <w:r w:rsidR="001A319B" w:rsidRPr="001A319B">
        <w:rPr>
          <w:rFonts w:ascii="Arial" w:hAnsi="Arial" w:cs="Arial"/>
          <w:color w:val="222222"/>
          <w:shd w:val="clear" w:color="auto" w:fill="FFFFFF"/>
        </w:rPr>
        <w:t>Australian Football League Women's Competition</w:t>
      </w:r>
      <w:r w:rsidR="001A319B" w:rsidRPr="717D599A">
        <w:rPr>
          <w:rFonts w:ascii="Arial" w:hAnsi="Arial" w:cs="Arial"/>
        </w:rPr>
        <w:t xml:space="preserve"> </w:t>
      </w:r>
      <w:r w:rsidR="001A319B">
        <w:rPr>
          <w:rFonts w:ascii="Arial" w:hAnsi="Arial" w:cs="Arial"/>
        </w:rPr>
        <w:t>(</w:t>
      </w:r>
      <w:r w:rsidRPr="717D599A">
        <w:rPr>
          <w:rFonts w:ascii="Arial" w:hAnsi="Arial" w:cs="Arial"/>
        </w:rPr>
        <w:t>AFLW</w:t>
      </w:r>
      <w:r w:rsidR="001A319B">
        <w:rPr>
          <w:rFonts w:ascii="Arial" w:hAnsi="Arial" w:cs="Arial"/>
        </w:rPr>
        <w:t>)</w:t>
      </w:r>
      <w:r w:rsidRPr="717D599A">
        <w:rPr>
          <w:rFonts w:ascii="Arial" w:hAnsi="Arial" w:cs="Arial"/>
        </w:rPr>
        <w:t xml:space="preserve"> and efforts to ensure sport infrastructure is inclusive. However,</w:t>
      </w:r>
      <w:r w:rsidR="00082986" w:rsidRPr="717D599A">
        <w:rPr>
          <w:rFonts w:ascii="Arial" w:hAnsi="Arial" w:cs="Arial"/>
        </w:rPr>
        <w:t xml:space="preserve"> young women’s participation in physical activity drops after the age of 15,</w:t>
      </w:r>
      <w:r w:rsidR="00082986" w:rsidRPr="717D599A">
        <w:rPr>
          <w:rFonts w:ascii="Arial" w:hAnsi="Arial" w:cs="Arial"/>
          <w:vertAlign w:val="superscript"/>
        </w:rPr>
        <w:footnoteReference w:id="116"/>
      </w:r>
      <w:r w:rsidR="00082986" w:rsidRPr="717D599A">
        <w:rPr>
          <w:rFonts w:ascii="Arial" w:hAnsi="Arial" w:cs="Arial"/>
        </w:rPr>
        <w:t xml:space="preserve"> and</w:t>
      </w:r>
      <w:r w:rsidRPr="717D599A">
        <w:rPr>
          <w:rFonts w:ascii="Arial" w:hAnsi="Arial" w:cs="Arial"/>
        </w:rPr>
        <w:t xml:space="preserve"> women remain underrepresented in sports participation</w:t>
      </w:r>
      <w:r w:rsidR="00D64558">
        <w:rPr>
          <w:rFonts w:ascii="Arial" w:hAnsi="Arial" w:cs="Arial"/>
        </w:rPr>
        <w:t xml:space="preserve"> overall</w:t>
      </w:r>
      <w:r w:rsidRPr="717D599A">
        <w:rPr>
          <w:rFonts w:ascii="Arial" w:hAnsi="Arial" w:cs="Arial"/>
        </w:rPr>
        <w:t>, highlighting the need for a continued focus on gender equity in sport</w:t>
      </w:r>
      <w:r w:rsidR="00082986" w:rsidRPr="717D599A">
        <w:rPr>
          <w:rFonts w:ascii="Arial" w:hAnsi="Arial" w:cs="Arial"/>
        </w:rPr>
        <w:t xml:space="preserve"> and physical activity</w:t>
      </w:r>
      <w:r w:rsidRPr="717D599A">
        <w:rPr>
          <w:rFonts w:ascii="Arial" w:hAnsi="Arial" w:cs="Arial"/>
        </w:rPr>
        <w:t>.</w:t>
      </w:r>
      <w:r w:rsidRPr="717D599A">
        <w:rPr>
          <w:rFonts w:ascii="Arial" w:hAnsi="Arial" w:cs="Arial"/>
          <w:vertAlign w:val="superscript"/>
        </w:rPr>
        <w:footnoteReference w:id="117"/>
      </w:r>
      <w:r w:rsidR="008F6E24" w:rsidRPr="008F6E24">
        <w:rPr>
          <w:rFonts w:ascii="Arial" w:hAnsi="Arial" w:cs="Arial"/>
        </w:rPr>
        <w:t xml:space="preserve"> </w:t>
      </w:r>
      <w:r w:rsidR="008F6E24">
        <w:rPr>
          <w:rFonts w:ascii="Arial" w:hAnsi="Arial" w:cs="Arial"/>
        </w:rPr>
        <w:t>There is also an opportunity to p</w:t>
      </w:r>
      <w:r w:rsidR="008F6E24" w:rsidRPr="002F48D7">
        <w:rPr>
          <w:rFonts w:ascii="Arial" w:eastAsia="Times New Roman" w:hAnsi="Arial" w:cs="Arial"/>
          <w:lang w:eastAsia="en-AU"/>
        </w:rPr>
        <w:t>roactively review the way that physical education is taught in schools to ensure that it is meeting the needs of young women and girls.</w:t>
      </w:r>
    </w:p>
    <w:p w14:paraId="3C99F07D" w14:textId="1B721784" w:rsidR="008F6E24" w:rsidRDefault="00BF34EF" w:rsidP="00A71BE1">
      <w:pPr>
        <w:shd w:val="clear" w:color="auto" w:fill="FFFFFF"/>
        <w:spacing w:before="120" w:after="120" w:line="276" w:lineRule="auto"/>
        <w:jc w:val="both"/>
        <w:rPr>
          <w:rFonts w:ascii="Arial" w:hAnsi="Arial" w:cs="Arial"/>
        </w:rPr>
      </w:pPr>
      <w:r>
        <w:rPr>
          <w:rFonts w:ascii="Arial" w:hAnsi="Arial" w:cs="Arial"/>
        </w:rPr>
        <w:t>I</w:t>
      </w:r>
      <w:r w:rsidR="006F7B52" w:rsidRPr="002F48D7">
        <w:rPr>
          <w:rFonts w:ascii="Arial" w:hAnsi="Arial" w:cs="Arial"/>
        </w:rPr>
        <w:t>t is important to take a</w:t>
      </w:r>
      <w:r w:rsidR="009F3619">
        <w:rPr>
          <w:rFonts w:ascii="Arial" w:hAnsi="Arial" w:cs="Arial"/>
        </w:rPr>
        <w:t xml:space="preserve">n intersectional and </w:t>
      </w:r>
      <w:r w:rsidR="006F7B52" w:rsidRPr="002F48D7">
        <w:rPr>
          <w:rFonts w:ascii="Arial" w:hAnsi="Arial" w:cs="Arial"/>
        </w:rPr>
        <w:t>gendered approach</w:t>
      </w:r>
      <w:r>
        <w:rPr>
          <w:rFonts w:ascii="Arial" w:hAnsi="Arial" w:cs="Arial"/>
        </w:rPr>
        <w:t xml:space="preserve"> to health promotion that addresses the barriers and enablers to healthy behaviours for young women at both a structural/environmental and individual level.</w:t>
      </w:r>
      <w:r w:rsidR="006F7B52" w:rsidRPr="002F48D7">
        <w:rPr>
          <w:rFonts w:ascii="Arial" w:hAnsi="Arial" w:cs="Arial"/>
        </w:rPr>
        <w:t xml:space="preserve"> </w:t>
      </w:r>
      <w:r w:rsidRPr="00F61BB0">
        <w:rPr>
          <w:rFonts w:ascii="Arial" w:hAnsi="Arial" w:cs="Arial"/>
        </w:rPr>
        <w:t>As a starting point, we must create environments that support health and healthy living, and this includes consideration of physical, social and economic factors and acknowledg</w:t>
      </w:r>
      <w:r w:rsidR="00F61BB0" w:rsidRPr="00F61BB0">
        <w:rPr>
          <w:rFonts w:ascii="Arial" w:hAnsi="Arial" w:cs="Arial"/>
        </w:rPr>
        <w:t>ing</w:t>
      </w:r>
      <w:r w:rsidRPr="00F61BB0">
        <w:rPr>
          <w:rFonts w:ascii="Arial" w:hAnsi="Arial" w:cs="Arial"/>
        </w:rPr>
        <w:t xml:space="preserve"> that doing the same for everyone will not enable equal access. For example, </w:t>
      </w:r>
      <w:bookmarkStart w:id="28" w:name="_Hlk58327349"/>
      <w:r w:rsidR="00F61BB0" w:rsidRPr="00F61BB0">
        <w:rPr>
          <w:rFonts w:ascii="Arial" w:hAnsi="Arial" w:cs="Arial"/>
        </w:rPr>
        <w:t>i</w:t>
      </w:r>
      <w:r w:rsidRPr="00F61BB0">
        <w:rPr>
          <w:rFonts w:ascii="Arial" w:hAnsi="Arial" w:cs="Arial"/>
        </w:rPr>
        <w:t>nterventions to increase the participation of women in physical activity must consider the physical environment (e.g. women’s actual and perceived safety</w:t>
      </w:r>
      <w:r w:rsidR="00F61BB0" w:rsidRPr="00F61BB0">
        <w:rPr>
          <w:rFonts w:ascii="Arial" w:hAnsi="Arial" w:cs="Arial"/>
        </w:rPr>
        <w:t>, lighting etc</w:t>
      </w:r>
      <w:r w:rsidRPr="00F61BB0">
        <w:rPr>
          <w:rFonts w:ascii="Arial" w:hAnsi="Arial" w:cs="Arial"/>
        </w:rPr>
        <w:t xml:space="preserve">), social norms (e.g. socially constructed body and beauty ideals) and economic inequalities (e.g. affordability). </w:t>
      </w:r>
      <w:r w:rsidR="008F6E24">
        <w:rPr>
          <w:rFonts w:ascii="Arial" w:hAnsi="Arial" w:cs="Arial"/>
        </w:rPr>
        <w:t xml:space="preserve">It is also essential to ensure that </w:t>
      </w:r>
      <w:r w:rsidR="008F6E24" w:rsidRPr="008F6E24">
        <w:rPr>
          <w:rFonts w:ascii="Arial" w:hAnsi="Arial" w:cs="Arial"/>
        </w:rPr>
        <w:t>sport</w:t>
      </w:r>
      <w:r w:rsidR="008F6E24">
        <w:rPr>
          <w:rFonts w:ascii="Arial" w:hAnsi="Arial" w:cs="Arial"/>
        </w:rPr>
        <w:t xml:space="preserve"> and re</w:t>
      </w:r>
      <w:r w:rsidR="008F6E24" w:rsidRPr="008F6E24">
        <w:rPr>
          <w:rFonts w:ascii="Arial" w:hAnsi="Arial" w:cs="Arial"/>
        </w:rPr>
        <w:t>creation programs</w:t>
      </w:r>
      <w:r w:rsidR="008F6E24">
        <w:rPr>
          <w:rFonts w:ascii="Arial" w:hAnsi="Arial" w:cs="Arial"/>
        </w:rPr>
        <w:t xml:space="preserve"> are welcoming and inclusive spaces for all young women by</w:t>
      </w:r>
      <w:r w:rsidR="008F6E24" w:rsidRPr="008F6E24">
        <w:rPr>
          <w:rFonts w:ascii="Arial" w:hAnsi="Arial" w:cs="Arial"/>
        </w:rPr>
        <w:t xml:space="preserve"> actively addressing sexism, ableism, racism</w:t>
      </w:r>
      <w:r w:rsidR="009F3619">
        <w:rPr>
          <w:rFonts w:ascii="Arial" w:hAnsi="Arial" w:cs="Arial"/>
        </w:rPr>
        <w:t>, transphobia</w:t>
      </w:r>
      <w:r w:rsidR="008F6E24" w:rsidRPr="008F6E24">
        <w:rPr>
          <w:rFonts w:ascii="Arial" w:hAnsi="Arial" w:cs="Arial"/>
        </w:rPr>
        <w:t xml:space="preserve"> and homophobia.</w:t>
      </w:r>
    </w:p>
    <w:bookmarkEnd w:id="28"/>
    <w:p w14:paraId="2C6FB540" w14:textId="637D7B23" w:rsidR="006F7B52" w:rsidRPr="002F48D7" w:rsidRDefault="008F6E24" w:rsidP="00A71BE1">
      <w:pPr>
        <w:spacing w:before="120" w:after="120" w:line="276" w:lineRule="auto"/>
        <w:jc w:val="both"/>
        <w:rPr>
          <w:rFonts w:ascii="Arial" w:hAnsi="Arial" w:cs="Arial"/>
          <w:bCs/>
        </w:rPr>
      </w:pPr>
      <w:r>
        <w:rPr>
          <w:rFonts w:ascii="Arial" w:hAnsi="Arial" w:cs="Arial"/>
          <w:bCs/>
        </w:rPr>
        <w:lastRenderedPageBreak/>
        <w:t>G</w:t>
      </w:r>
      <w:r w:rsidR="00082986">
        <w:rPr>
          <w:rFonts w:ascii="Arial" w:hAnsi="Arial" w:cs="Arial"/>
          <w:bCs/>
        </w:rPr>
        <w:t>endered</w:t>
      </w:r>
      <w:r w:rsidR="006F7B52">
        <w:rPr>
          <w:rFonts w:ascii="Arial" w:hAnsi="Arial" w:cs="Arial"/>
          <w:bCs/>
        </w:rPr>
        <w:t xml:space="preserve"> barriers to participation in physical activity </w:t>
      </w:r>
      <w:r>
        <w:rPr>
          <w:rFonts w:ascii="Arial" w:hAnsi="Arial" w:cs="Arial"/>
          <w:bCs/>
        </w:rPr>
        <w:t xml:space="preserve">persist </w:t>
      </w:r>
      <w:r w:rsidR="00082986">
        <w:rPr>
          <w:rFonts w:ascii="Arial" w:hAnsi="Arial" w:cs="Arial"/>
          <w:bCs/>
        </w:rPr>
        <w:t>for</w:t>
      </w:r>
      <w:r w:rsidR="006F7B52">
        <w:rPr>
          <w:rFonts w:ascii="Arial" w:hAnsi="Arial" w:cs="Arial"/>
          <w:bCs/>
        </w:rPr>
        <w:t xml:space="preserve"> young </w:t>
      </w:r>
      <w:r w:rsidR="006F7B52" w:rsidRPr="002F48D7">
        <w:rPr>
          <w:rFonts w:ascii="Arial" w:hAnsi="Arial" w:cs="Arial"/>
          <w:bCs/>
        </w:rPr>
        <w:t>women and girls</w:t>
      </w:r>
      <w:r w:rsidR="006F7B52">
        <w:rPr>
          <w:rFonts w:ascii="Arial" w:hAnsi="Arial" w:cs="Arial"/>
          <w:bCs/>
        </w:rPr>
        <w:t xml:space="preserve"> </w:t>
      </w:r>
      <w:r>
        <w:rPr>
          <w:rFonts w:ascii="Arial" w:hAnsi="Arial" w:cs="Arial"/>
          <w:bCs/>
        </w:rPr>
        <w:t>and many of these barriers relate to body image and appearance concerns, as well as sexism, sexualisation and sexual harassment</w:t>
      </w:r>
      <w:r w:rsidR="006F7B52" w:rsidRPr="002F48D7">
        <w:rPr>
          <w:rFonts w:ascii="Arial" w:hAnsi="Arial" w:cs="Arial"/>
          <w:bCs/>
        </w:rPr>
        <w:t>:</w:t>
      </w:r>
    </w:p>
    <w:p w14:paraId="03FFCB1A" w14:textId="77777777" w:rsidR="00082986" w:rsidRDefault="00082986" w:rsidP="00A71BE1">
      <w:pPr>
        <w:numPr>
          <w:ilvl w:val="0"/>
          <w:numId w:val="14"/>
        </w:numPr>
        <w:spacing w:before="120" w:after="120" w:line="276" w:lineRule="auto"/>
        <w:jc w:val="both"/>
        <w:rPr>
          <w:rFonts w:ascii="Arial" w:hAnsi="Arial" w:cs="Arial"/>
        </w:rPr>
      </w:pPr>
      <w:r w:rsidRPr="717D599A">
        <w:rPr>
          <w:rFonts w:ascii="Arial" w:hAnsi="Arial" w:cs="Arial"/>
        </w:rPr>
        <w:t>A reduction in young women’s interest and confidence in physical activity in adolescence due to combination of puberty, body image concerns and gender norms.</w:t>
      </w:r>
      <w:r w:rsidRPr="717D599A">
        <w:rPr>
          <w:rFonts w:ascii="Arial" w:hAnsi="Arial" w:cs="Arial"/>
          <w:vertAlign w:val="superscript"/>
        </w:rPr>
        <w:footnoteReference w:id="118"/>
      </w:r>
      <w:r w:rsidRPr="717D599A">
        <w:rPr>
          <w:rFonts w:ascii="Arial" w:hAnsi="Arial" w:cs="Arial"/>
        </w:rPr>
        <w:t xml:space="preserve"> </w:t>
      </w:r>
    </w:p>
    <w:p w14:paraId="54891371" w14:textId="10D14C49" w:rsidR="006F7B52" w:rsidRPr="00082986" w:rsidRDefault="00082986" w:rsidP="00A71BE1">
      <w:pPr>
        <w:numPr>
          <w:ilvl w:val="0"/>
          <w:numId w:val="14"/>
        </w:numPr>
        <w:spacing w:before="120" w:after="120" w:line="276" w:lineRule="auto"/>
        <w:jc w:val="both"/>
        <w:rPr>
          <w:rFonts w:ascii="Arial" w:hAnsi="Arial" w:cs="Arial"/>
        </w:rPr>
      </w:pPr>
      <w:r w:rsidRPr="717D599A">
        <w:rPr>
          <w:rFonts w:ascii="Arial" w:hAnsi="Arial" w:cs="Arial"/>
        </w:rPr>
        <w:t>C</w:t>
      </w:r>
      <w:r w:rsidR="006F7B52" w:rsidRPr="717D599A">
        <w:rPr>
          <w:rFonts w:ascii="Arial" w:hAnsi="Arial" w:cs="Arial"/>
        </w:rPr>
        <w:t>oncern about the presence of males when exercising and worry about being judged, humiliated and harassed.</w:t>
      </w:r>
      <w:r w:rsidR="006F7B52" w:rsidRPr="717D599A">
        <w:rPr>
          <w:rFonts w:ascii="Arial" w:hAnsi="Arial" w:cs="Arial"/>
          <w:vertAlign w:val="superscript"/>
        </w:rPr>
        <w:footnoteReference w:id="119"/>
      </w:r>
      <w:r w:rsidR="006F7B52" w:rsidRPr="717D599A">
        <w:rPr>
          <w:rFonts w:ascii="Arial" w:hAnsi="Arial" w:cs="Arial"/>
        </w:rPr>
        <w:t xml:space="preserve"> </w:t>
      </w:r>
    </w:p>
    <w:p w14:paraId="44060B1E" w14:textId="77777777" w:rsidR="006F7B52" w:rsidRPr="003555DD" w:rsidRDefault="006F7B52" w:rsidP="00A71BE1">
      <w:pPr>
        <w:numPr>
          <w:ilvl w:val="0"/>
          <w:numId w:val="14"/>
        </w:numPr>
        <w:spacing w:before="120" w:after="120" w:line="276" w:lineRule="auto"/>
        <w:jc w:val="both"/>
        <w:rPr>
          <w:rFonts w:ascii="Arial" w:hAnsi="Arial" w:cs="Arial"/>
        </w:rPr>
      </w:pPr>
      <w:r w:rsidRPr="717D599A">
        <w:rPr>
          <w:rFonts w:ascii="Arial" w:hAnsi="Arial" w:cs="Arial"/>
        </w:rPr>
        <w:t>Sexualisation through uniform and sportswear design can make girls feel uncomfortable playing sport.</w:t>
      </w:r>
      <w:r w:rsidRPr="717D599A">
        <w:rPr>
          <w:rFonts w:ascii="Arial" w:hAnsi="Arial" w:cs="Arial"/>
          <w:vertAlign w:val="superscript"/>
        </w:rPr>
        <w:footnoteReference w:id="120"/>
      </w:r>
      <w:r w:rsidRPr="717D599A">
        <w:rPr>
          <w:rFonts w:ascii="Arial" w:hAnsi="Arial" w:cs="Arial"/>
          <w:vertAlign w:val="superscript"/>
        </w:rPr>
        <w:t xml:space="preserve"> </w:t>
      </w:r>
    </w:p>
    <w:p w14:paraId="28284870" w14:textId="64BFFE76" w:rsidR="006F7B52" w:rsidRPr="003555DD" w:rsidRDefault="006F7B52" w:rsidP="00A71BE1">
      <w:pPr>
        <w:numPr>
          <w:ilvl w:val="0"/>
          <w:numId w:val="14"/>
        </w:numPr>
        <w:spacing w:before="120" w:after="120" w:line="276" w:lineRule="auto"/>
        <w:jc w:val="both"/>
        <w:rPr>
          <w:rFonts w:ascii="Arial" w:hAnsi="Arial" w:cs="Arial"/>
        </w:rPr>
      </w:pPr>
      <w:r w:rsidRPr="717D599A">
        <w:rPr>
          <w:rFonts w:ascii="Arial" w:hAnsi="Arial" w:cs="Arial"/>
        </w:rPr>
        <w:t>Social norms around what physically active people look like, namely ‘thin’ and conventionally ‘attractive’, can be unattainable for some and reinforce the perception that physical activity is not for them.</w:t>
      </w:r>
      <w:r w:rsidRPr="717D599A">
        <w:rPr>
          <w:rFonts w:ascii="Arial" w:hAnsi="Arial" w:cs="Arial"/>
          <w:vertAlign w:val="superscript"/>
        </w:rPr>
        <w:footnoteReference w:id="121"/>
      </w:r>
    </w:p>
    <w:p w14:paraId="27B09A9A" w14:textId="4AE4FBE1" w:rsidR="00BF34EF" w:rsidRDefault="003E17FF" w:rsidP="00A71BE1">
      <w:pPr>
        <w:spacing w:before="120" w:after="120" w:line="276" w:lineRule="auto"/>
        <w:jc w:val="both"/>
        <w:rPr>
          <w:rFonts w:ascii="Arial" w:hAnsi="Arial" w:cs="Arial"/>
          <w:bCs/>
        </w:rPr>
      </w:pPr>
      <w:r w:rsidRPr="717D599A">
        <w:rPr>
          <w:rFonts w:ascii="Arial" w:hAnsi="Arial" w:cs="Arial"/>
        </w:rPr>
        <w:t>While healthy eating is often simplistically described as a ‘choice’, young women’s choices are determined by factors such as affordability, opportunity, safety and availability, as well as gendered norms and expectations related to food and eating. For example, cost is usually the most important factor determining the food-purchasing decisions of lower-income households, and the rising cost of fruits, vegetables and other healthy foods in Australia makes healthy eating unaffordable for young women on low incomes. Gendered norms and practices that position food preparation as women’s work, as well as gender stereotypes related to women and food (for example, over-eating or eating unhealthily as a coping mechanism</w:t>
      </w:r>
      <w:r w:rsidRPr="717D599A">
        <w:rPr>
          <w:rFonts w:ascii="Arial" w:hAnsi="Arial"/>
          <w:vertAlign w:val="superscript"/>
        </w:rPr>
        <w:footnoteReference w:id="122"/>
      </w:r>
      <w:r w:rsidRPr="717D599A">
        <w:rPr>
          <w:rFonts w:ascii="Arial" w:hAnsi="Arial" w:cs="Arial"/>
        </w:rPr>
        <w:t>), also need to be challenged.</w:t>
      </w:r>
    </w:p>
    <w:p w14:paraId="71DC552B" w14:textId="673CB309" w:rsidR="00B33FFD" w:rsidRPr="003555DD" w:rsidRDefault="00B33FFD" w:rsidP="00A71BE1">
      <w:pPr>
        <w:spacing w:before="120" w:after="120" w:line="276" w:lineRule="auto"/>
        <w:jc w:val="both"/>
        <w:rPr>
          <w:rFonts w:ascii="Arial" w:hAnsi="Arial" w:cs="Arial"/>
          <w:bCs/>
        </w:rPr>
      </w:pPr>
      <w:r w:rsidRPr="00B33FFD">
        <w:rPr>
          <w:rFonts w:ascii="Arial" w:hAnsi="Arial" w:cs="Arial"/>
          <w:lang w:val="en-US"/>
        </w:rPr>
        <w:t>A key challenge in health promotion is that being ‘healthy’ is often equated with being ‘thin’, and ‘health’ goals for women become linked to appearance norms and thinness pressures. Public</w:t>
      </w:r>
      <w:r w:rsidRPr="003E17FF">
        <w:rPr>
          <w:rFonts w:ascii="Arial" w:hAnsi="Arial" w:cs="Arial"/>
          <w:lang w:val="en-US"/>
        </w:rPr>
        <w:t xml:space="preserve"> health campaigns that </w:t>
      </w:r>
      <w:r w:rsidRPr="0067568D">
        <w:rPr>
          <w:rFonts w:ascii="Arial" w:hAnsi="Arial" w:cs="Arial"/>
        </w:rPr>
        <w:t>emphasise</w:t>
      </w:r>
      <w:r w:rsidRPr="003E17FF">
        <w:rPr>
          <w:rFonts w:ascii="Arial" w:hAnsi="Arial" w:cs="Arial"/>
          <w:lang w:val="en-US"/>
        </w:rPr>
        <w:t xml:space="preserve"> the desirability of an ideal body weight and shape are associated with increased stigma and body dissatisfaction in people of all weights.</w:t>
      </w:r>
      <w:r w:rsidRPr="003E17FF">
        <w:rPr>
          <w:rStyle w:val="FootnoteReference"/>
          <w:rFonts w:ascii="Arial" w:hAnsi="Arial" w:cs="Arial"/>
          <w:lang w:val="en-US"/>
        </w:rPr>
        <w:footnoteReference w:id="123"/>
      </w:r>
      <w:r>
        <w:rPr>
          <w:rFonts w:ascii="Arial" w:hAnsi="Arial" w:cs="Arial"/>
          <w:lang w:val="en-US"/>
        </w:rPr>
        <w:t xml:space="preserve"> </w:t>
      </w:r>
      <w:r w:rsidRPr="717D599A">
        <w:rPr>
          <w:rFonts w:ascii="Arial" w:hAnsi="Arial" w:cs="Arial"/>
        </w:rPr>
        <w:t xml:space="preserve">Research on adolescent girls and boys has also found that weight-based victimisation in adolescence can lead to increased risk of depression, low self-esteem, suicidal ideation and </w:t>
      </w:r>
      <w:r w:rsidRPr="717D599A">
        <w:rPr>
          <w:rFonts w:ascii="Arial" w:hAnsi="Arial" w:cs="Arial"/>
        </w:rPr>
        <w:lastRenderedPageBreak/>
        <w:t>poor body image, higher levels of disordered eating, harmful weight control behaviours, weight gain and lower levels of physical activity.</w:t>
      </w:r>
      <w:r w:rsidRPr="717D599A">
        <w:rPr>
          <w:rFonts w:ascii="Arial" w:hAnsi="Arial" w:cs="Arial"/>
          <w:vertAlign w:val="superscript"/>
        </w:rPr>
        <w:footnoteReference w:id="124"/>
      </w:r>
    </w:p>
    <w:p w14:paraId="16BCCC00" w14:textId="7B3E406E" w:rsidR="003E17FF" w:rsidRDefault="003E17FF" w:rsidP="00A71BE1">
      <w:pPr>
        <w:spacing w:before="120" w:after="120" w:line="276" w:lineRule="auto"/>
        <w:jc w:val="both"/>
        <w:rPr>
          <w:rFonts w:ascii="Arial" w:hAnsi="Arial" w:cs="Arial"/>
          <w:bCs/>
        </w:rPr>
      </w:pPr>
      <w:r>
        <w:rPr>
          <w:rFonts w:ascii="Arial" w:hAnsi="Arial" w:cs="Arial"/>
          <w:bCs/>
        </w:rPr>
        <w:t xml:space="preserve">The first principle of any health promotion efforts targeting young women must be to do no harm. Given </w:t>
      </w:r>
      <w:r>
        <w:rPr>
          <w:rFonts w:ascii="Arial" w:hAnsi="Arial" w:cs="Arial"/>
          <w:lang w:val="en-US"/>
        </w:rPr>
        <w:t xml:space="preserve">the prevalence and salience of body image concerns for young women (as explored in the mental health section of this submission), it is critical that any health promotion initiatives avoid reinforcing a focus on appearance and weight. </w:t>
      </w:r>
    </w:p>
    <w:p w14:paraId="7C6D54D5" w14:textId="6C7D05B2" w:rsidR="002F48D7" w:rsidRPr="003555DD" w:rsidRDefault="002F48D7" w:rsidP="00A71BE1">
      <w:pPr>
        <w:pStyle w:val="Heading2"/>
        <w:spacing w:before="120" w:after="120" w:line="276" w:lineRule="auto"/>
        <w:jc w:val="both"/>
        <w:rPr>
          <w:b/>
          <w:bCs/>
          <w:sz w:val="22"/>
          <w:szCs w:val="22"/>
        </w:rPr>
      </w:pPr>
      <w:bookmarkStart w:id="29" w:name="_Toc59045882"/>
      <w:r w:rsidRPr="003555DD">
        <w:rPr>
          <w:b/>
          <w:bCs/>
        </w:rPr>
        <w:t xml:space="preserve">Recommendations to improve young women’s </w:t>
      </w:r>
      <w:r w:rsidR="00CB4BF1" w:rsidRPr="003555DD">
        <w:rPr>
          <w:b/>
          <w:bCs/>
        </w:rPr>
        <w:t>p</w:t>
      </w:r>
      <w:r w:rsidRPr="003555DD">
        <w:rPr>
          <w:b/>
          <w:bCs/>
        </w:rPr>
        <w:t>hysical health</w:t>
      </w:r>
      <w:bookmarkEnd w:id="29"/>
      <w:r w:rsidRPr="003555DD">
        <w:rPr>
          <w:b/>
          <w:bCs/>
        </w:rPr>
        <w:t xml:space="preserve"> </w:t>
      </w:r>
    </w:p>
    <w:p w14:paraId="13518461" w14:textId="0304421D" w:rsidR="002F48D7" w:rsidRDefault="002F48D7" w:rsidP="00A71BE1">
      <w:pPr>
        <w:spacing w:before="120" w:after="120" w:line="276" w:lineRule="auto"/>
        <w:jc w:val="both"/>
        <w:rPr>
          <w:rFonts w:ascii="Arial" w:hAnsi="Arial" w:cs="Arial"/>
        </w:rPr>
      </w:pPr>
      <w:r w:rsidRPr="002F48D7">
        <w:rPr>
          <w:rFonts w:ascii="Arial" w:hAnsi="Arial" w:cs="Arial"/>
        </w:rPr>
        <w:t>To continue to foster positive lifelong relationship between young women and their bodies, WHV recommends the following:</w:t>
      </w:r>
    </w:p>
    <w:p w14:paraId="556EC965" w14:textId="007ABDFE" w:rsidR="00B33FFD" w:rsidRPr="00B33FFD" w:rsidRDefault="00B33FFD" w:rsidP="00A71BE1">
      <w:pPr>
        <w:spacing w:line="276" w:lineRule="auto"/>
        <w:jc w:val="both"/>
        <w:rPr>
          <w:rFonts w:ascii="Arial" w:hAnsi="Arial" w:cs="Arial"/>
          <w:color w:val="ED7D31" w:themeColor="accent2"/>
          <w:sz w:val="24"/>
          <w:szCs w:val="24"/>
        </w:rPr>
      </w:pPr>
      <w:bookmarkStart w:id="30" w:name="_Hlk57969733"/>
      <w:bookmarkStart w:id="31" w:name="_Hlk57969581"/>
      <w:r>
        <w:rPr>
          <w:rFonts w:ascii="Arial" w:hAnsi="Arial" w:cs="Arial"/>
          <w:color w:val="ED7D31" w:themeColor="accent2"/>
          <w:sz w:val="24"/>
          <w:szCs w:val="24"/>
        </w:rPr>
        <w:t xml:space="preserve">Recommendation </w:t>
      </w:r>
      <w:r w:rsidR="000C5939">
        <w:rPr>
          <w:rFonts w:ascii="Arial" w:hAnsi="Arial" w:cs="Arial"/>
          <w:color w:val="ED7D31" w:themeColor="accent2"/>
          <w:sz w:val="24"/>
          <w:szCs w:val="24"/>
        </w:rPr>
        <w:t>5</w:t>
      </w:r>
      <w:r>
        <w:rPr>
          <w:rFonts w:ascii="Arial" w:hAnsi="Arial" w:cs="Arial"/>
          <w:color w:val="ED7D31" w:themeColor="accent2"/>
          <w:sz w:val="24"/>
          <w:szCs w:val="24"/>
        </w:rPr>
        <w:t xml:space="preserve">: </w:t>
      </w:r>
      <w:r w:rsidRPr="00B33FFD">
        <w:rPr>
          <w:rFonts w:ascii="Arial" w:hAnsi="Arial" w:cs="Arial"/>
          <w:color w:val="ED7D31" w:themeColor="accent2"/>
          <w:sz w:val="24"/>
          <w:szCs w:val="24"/>
        </w:rPr>
        <w:t xml:space="preserve">Take </w:t>
      </w:r>
      <w:r>
        <w:rPr>
          <w:rFonts w:ascii="Arial" w:hAnsi="Arial" w:cs="Arial"/>
          <w:color w:val="ED7D31" w:themeColor="accent2"/>
          <w:sz w:val="24"/>
          <w:szCs w:val="24"/>
        </w:rPr>
        <w:t>a</w:t>
      </w:r>
      <w:r w:rsidR="008F6E24">
        <w:rPr>
          <w:rFonts w:ascii="Arial" w:hAnsi="Arial" w:cs="Arial"/>
          <w:color w:val="ED7D31" w:themeColor="accent2"/>
          <w:sz w:val="24"/>
          <w:szCs w:val="24"/>
        </w:rPr>
        <w:t>n intersectional</w:t>
      </w:r>
      <w:r>
        <w:rPr>
          <w:rFonts w:ascii="Arial" w:hAnsi="Arial" w:cs="Arial"/>
          <w:color w:val="ED7D31" w:themeColor="accent2"/>
          <w:sz w:val="24"/>
          <w:szCs w:val="24"/>
        </w:rPr>
        <w:t xml:space="preserve"> </w:t>
      </w:r>
      <w:r w:rsidRPr="00B33FFD">
        <w:rPr>
          <w:rFonts w:ascii="Arial" w:hAnsi="Arial" w:cs="Arial"/>
          <w:color w:val="ED7D31" w:themeColor="accent2"/>
          <w:sz w:val="24"/>
          <w:szCs w:val="24"/>
        </w:rPr>
        <w:t xml:space="preserve">gender-sensitive approach to </w:t>
      </w:r>
      <w:r>
        <w:rPr>
          <w:rFonts w:ascii="Arial" w:hAnsi="Arial" w:cs="Arial"/>
          <w:color w:val="ED7D31" w:themeColor="accent2"/>
          <w:sz w:val="24"/>
          <w:szCs w:val="24"/>
        </w:rPr>
        <w:t>health promotion</w:t>
      </w:r>
      <w:r w:rsidRPr="00B33FFD">
        <w:rPr>
          <w:rFonts w:ascii="Arial" w:hAnsi="Arial" w:cs="Arial"/>
          <w:color w:val="ED7D31" w:themeColor="accent2"/>
          <w:sz w:val="24"/>
          <w:szCs w:val="24"/>
        </w:rPr>
        <w:t>, including addressing structural barriers and enablers</w:t>
      </w:r>
      <w:r>
        <w:rPr>
          <w:rFonts w:ascii="Arial" w:hAnsi="Arial" w:cs="Arial"/>
          <w:color w:val="ED7D31" w:themeColor="accent2"/>
          <w:sz w:val="24"/>
          <w:szCs w:val="24"/>
        </w:rPr>
        <w:t xml:space="preserve"> for healthy behaviours</w:t>
      </w:r>
    </w:p>
    <w:p w14:paraId="0EE65EFD" w14:textId="77777777" w:rsidR="008F6E24" w:rsidRPr="002F48D7" w:rsidRDefault="008F6E24" w:rsidP="00A71BE1">
      <w:pPr>
        <w:numPr>
          <w:ilvl w:val="0"/>
          <w:numId w:val="10"/>
        </w:numPr>
        <w:shd w:val="clear" w:color="auto" w:fill="FFFFFF" w:themeFill="background1"/>
        <w:spacing w:before="120" w:after="120" w:line="276" w:lineRule="auto"/>
        <w:jc w:val="both"/>
        <w:rPr>
          <w:rFonts w:ascii="Arial" w:eastAsia="Times New Roman" w:hAnsi="Arial" w:cs="Arial"/>
          <w:lang w:eastAsia="en-AU"/>
        </w:rPr>
      </w:pPr>
      <w:r w:rsidRPr="002F48D7">
        <w:rPr>
          <w:rFonts w:ascii="Arial" w:eastAsia="Times New Roman" w:hAnsi="Arial" w:cs="Arial"/>
          <w:lang w:eastAsia="en-AU"/>
        </w:rPr>
        <w:t>Proactively review the way that physical education is taught in schools to ensure that it is meeting the needs of young women and girls.</w:t>
      </w:r>
    </w:p>
    <w:p w14:paraId="61950EF9" w14:textId="6476340A" w:rsidR="008F6E24" w:rsidRPr="005B1162" w:rsidRDefault="00706CD3" w:rsidP="00A71BE1">
      <w:pPr>
        <w:numPr>
          <w:ilvl w:val="0"/>
          <w:numId w:val="10"/>
        </w:numPr>
        <w:shd w:val="clear" w:color="auto" w:fill="FFFFFF" w:themeFill="background1"/>
        <w:spacing w:before="120" w:after="120" w:line="276" w:lineRule="auto"/>
        <w:jc w:val="both"/>
        <w:rPr>
          <w:rFonts w:ascii="Arial" w:eastAsia="Times New Roman" w:hAnsi="Arial" w:cs="Arial"/>
          <w:lang w:eastAsia="en-AU"/>
        </w:rPr>
      </w:pPr>
      <w:r w:rsidRPr="005B1162">
        <w:rPr>
          <w:rFonts w:ascii="Arial" w:eastAsia="Times New Roman" w:hAnsi="Arial" w:cs="Arial"/>
          <w:lang w:eastAsia="en-AU"/>
        </w:rPr>
        <w:t>Continue to focus efforts on gender equity in sport, and e</w:t>
      </w:r>
      <w:r w:rsidR="008F6E24" w:rsidRPr="005B1162">
        <w:rPr>
          <w:rFonts w:ascii="Arial" w:eastAsia="Times New Roman" w:hAnsi="Arial" w:cs="Arial"/>
          <w:lang w:eastAsia="en-AU"/>
        </w:rPr>
        <w:t>nsure interventions to increase the participation of women in physical activity consider the physical environment, social norms and economic and other barriers to participation.</w:t>
      </w:r>
    </w:p>
    <w:p w14:paraId="2E0D4EF4" w14:textId="763DF449" w:rsidR="00B33FFD" w:rsidRDefault="00B33FFD" w:rsidP="00A71BE1">
      <w:pPr>
        <w:numPr>
          <w:ilvl w:val="0"/>
          <w:numId w:val="10"/>
        </w:numPr>
        <w:shd w:val="clear" w:color="auto" w:fill="FFFFFF" w:themeFill="background1"/>
        <w:spacing w:before="120" w:after="120" w:line="276" w:lineRule="auto"/>
        <w:jc w:val="both"/>
        <w:rPr>
          <w:rFonts w:ascii="Arial" w:eastAsia="Times New Roman" w:hAnsi="Arial" w:cs="Arial"/>
          <w:lang w:eastAsia="en-AU"/>
        </w:rPr>
      </w:pPr>
      <w:bookmarkStart w:id="32" w:name="_Hlk58327686"/>
      <w:r w:rsidRPr="002F48D7">
        <w:rPr>
          <w:rFonts w:ascii="Arial" w:eastAsia="Times New Roman" w:hAnsi="Arial" w:cs="Arial"/>
          <w:lang w:eastAsia="en-AU"/>
        </w:rPr>
        <w:t>Ensure that</w:t>
      </w:r>
      <w:r w:rsidR="005B1162">
        <w:rPr>
          <w:rFonts w:ascii="Arial" w:eastAsia="Times New Roman" w:hAnsi="Arial" w:cs="Arial"/>
          <w:lang w:eastAsia="en-AU"/>
        </w:rPr>
        <w:t xml:space="preserve"> </w:t>
      </w:r>
      <w:r w:rsidRPr="002F48D7">
        <w:rPr>
          <w:rFonts w:ascii="Arial" w:eastAsia="Times New Roman" w:hAnsi="Arial" w:cs="Arial"/>
          <w:lang w:eastAsia="en-AU"/>
        </w:rPr>
        <w:t>sports and recreation program</w:t>
      </w:r>
      <w:r w:rsidR="008F6E24">
        <w:rPr>
          <w:rFonts w:ascii="Arial" w:eastAsia="Times New Roman" w:hAnsi="Arial" w:cs="Arial"/>
          <w:lang w:eastAsia="en-AU"/>
        </w:rPr>
        <w:t>s</w:t>
      </w:r>
      <w:r w:rsidRPr="002F48D7">
        <w:rPr>
          <w:rFonts w:ascii="Arial" w:eastAsia="Times New Roman" w:hAnsi="Arial" w:cs="Arial"/>
          <w:lang w:eastAsia="en-AU"/>
        </w:rPr>
        <w:t>, clubs and services are equitable, welcoming and inclusive for young women and girls</w:t>
      </w:r>
      <w:r>
        <w:rPr>
          <w:rFonts w:ascii="Arial" w:eastAsia="Times New Roman" w:hAnsi="Arial" w:cs="Arial"/>
          <w:lang w:eastAsia="en-AU"/>
        </w:rPr>
        <w:t xml:space="preserve"> including actively addressing </w:t>
      </w:r>
      <w:r w:rsidR="008F6E24">
        <w:rPr>
          <w:rFonts w:ascii="Arial" w:eastAsia="Times New Roman" w:hAnsi="Arial" w:cs="Arial"/>
          <w:lang w:eastAsia="en-AU"/>
        </w:rPr>
        <w:t xml:space="preserve">sexism, </w:t>
      </w:r>
      <w:r>
        <w:rPr>
          <w:rFonts w:ascii="Arial" w:eastAsia="Times New Roman" w:hAnsi="Arial" w:cs="Arial"/>
          <w:lang w:eastAsia="en-AU"/>
        </w:rPr>
        <w:t xml:space="preserve">ableism, racism and homophobia. </w:t>
      </w:r>
    </w:p>
    <w:bookmarkEnd w:id="32"/>
    <w:p w14:paraId="59873A98" w14:textId="4EFD8073" w:rsidR="008F6E24" w:rsidRPr="008F6E24" w:rsidRDefault="008F6E24" w:rsidP="00A71BE1">
      <w:pPr>
        <w:numPr>
          <w:ilvl w:val="0"/>
          <w:numId w:val="10"/>
        </w:numPr>
        <w:shd w:val="clear" w:color="auto" w:fill="FFFFFF" w:themeFill="background1"/>
        <w:spacing w:before="120" w:after="120" w:line="276" w:lineRule="auto"/>
        <w:jc w:val="both"/>
        <w:rPr>
          <w:rFonts w:ascii="Arial" w:eastAsia="Times New Roman" w:hAnsi="Arial" w:cs="Arial"/>
          <w:lang w:eastAsia="en-AU"/>
        </w:rPr>
      </w:pPr>
      <w:r w:rsidRPr="005B1162">
        <w:rPr>
          <w:rFonts w:ascii="Arial" w:eastAsia="Times New Roman" w:hAnsi="Arial" w:cs="Arial"/>
          <w:lang w:eastAsia="en-AU"/>
        </w:rPr>
        <w:t>Create an enabling environment for healthy eating, and challenge gendered norms</w:t>
      </w:r>
      <w:r w:rsidR="005B1162">
        <w:rPr>
          <w:rFonts w:ascii="Arial" w:eastAsia="Times New Roman" w:hAnsi="Arial" w:cs="Arial"/>
          <w:lang w:eastAsia="en-AU"/>
        </w:rPr>
        <w:t>,</w:t>
      </w:r>
      <w:r w:rsidRPr="005B1162">
        <w:rPr>
          <w:rFonts w:ascii="Arial" w:eastAsia="Times New Roman" w:hAnsi="Arial" w:cs="Arial"/>
          <w:lang w:eastAsia="en-AU"/>
        </w:rPr>
        <w:t xml:space="preserve"> practices and stereotypes that limit or negatively influence young women’s eating behaviours</w:t>
      </w:r>
      <w:r w:rsidR="005B1162">
        <w:rPr>
          <w:rFonts w:ascii="Arial" w:eastAsia="Times New Roman" w:hAnsi="Arial" w:cs="Arial"/>
          <w:lang w:eastAsia="en-AU"/>
        </w:rPr>
        <w:t>.</w:t>
      </w:r>
    </w:p>
    <w:p w14:paraId="3FC9A798" w14:textId="29DF36A3" w:rsidR="1742ECD2" w:rsidRDefault="000C5939" w:rsidP="00A71BE1">
      <w:pPr>
        <w:spacing w:line="276" w:lineRule="auto"/>
        <w:jc w:val="both"/>
        <w:rPr>
          <w:rFonts w:ascii="Arial" w:hAnsi="Arial" w:cs="Arial"/>
          <w:color w:val="ED7D31" w:themeColor="accent2"/>
          <w:sz w:val="24"/>
          <w:szCs w:val="24"/>
        </w:rPr>
      </w:pPr>
      <w:r>
        <w:rPr>
          <w:rFonts w:ascii="Arial" w:hAnsi="Arial" w:cs="Arial"/>
          <w:color w:val="ED7D31" w:themeColor="accent2"/>
          <w:sz w:val="24"/>
          <w:szCs w:val="24"/>
        </w:rPr>
        <w:t xml:space="preserve">Recommendation 6: </w:t>
      </w:r>
      <w:r w:rsidR="1742ECD2" w:rsidRPr="152DF3D9">
        <w:rPr>
          <w:rFonts w:ascii="Arial" w:hAnsi="Arial" w:cs="Arial"/>
          <w:color w:val="ED7D31" w:themeColor="accent2"/>
          <w:sz w:val="24"/>
          <w:szCs w:val="24"/>
        </w:rPr>
        <w:t>Tackle sexualisation and objectification of young women and promote positive body image</w:t>
      </w:r>
    </w:p>
    <w:p w14:paraId="4B98FC2C" w14:textId="36CFFFD7" w:rsidR="1742ECD2" w:rsidRDefault="1742ECD2" w:rsidP="00A71BE1">
      <w:pPr>
        <w:numPr>
          <w:ilvl w:val="0"/>
          <w:numId w:val="10"/>
        </w:numPr>
        <w:shd w:val="clear" w:color="auto" w:fill="FFFFFF" w:themeFill="background1"/>
        <w:spacing w:before="120" w:after="120" w:line="276" w:lineRule="auto"/>
        <w:jc w:val="both"/>
        <w:rPr>
          <w:rFonts w:ascii="Arial" w:eastAsia="Times New Roman" w:hAnsi="Arial" w:cs="Arial"/>
          <w:lang w:eastAsia="en-AU"/>
        </w:rPr>
      </w:pPr>
      <w:r w:rsidRPr="152DF3D9">
        <w:rPr>
          <w:rFonts w:ascii="Arial" w:eastAsia="Times New Roman" w:hAnsi="Arial" w:cs="Arial"/>
          <w:lang w:eastAsia="en-AU"/>
        </w:rPr>
        <w:t xml:space="preserve">Raise awareness about the </w:t>
      </w:r>
      <w:r w:rsidR="005B1162">
        <w:rPr>
          <w:rFonts w:ascii="Arial" w:eastAsia="Times New Roman" w:hAnsi="Arial" w:cs="Arial"/>
          <w:lang w:eastAsia="en-AU"/>
        </w:rPr>
        <w:t xml:space="preserve">drivers and </w:t>
      </w:r>
      <w:r w:rsidRPr="152DF3D9">
        <w:rPr>
          <w:rFonts w:ascii="Arial" w:eastAsia="Times New Roman" w:hAnsi="Arial" w:cs="Arial"/>
          <w:lang w:eastAsia="en-AU"/>
        </w:rPr>
        <w:t xml:space="preserve">impacts of poor body image for young women and, including sexualisation, gender inequality, racism and ableism. </w:t>
      </w:r>
    </w:p>
    <w:p w14:paraId="5C44F19E" w14:textId="77777777" w:rsidR="008802A1" w:rsidRPr="002F48D7" w:rsidRDefault="008802A1" w:rsidP="00A71BE1">
      <w:pPr>
        <w:numPr>
          <w:ilvl w:val="0"/>
          <w:numId w:val="10"/>
        </w:numPr>
        <w:shd w:val="clear" w:color="auto" w:fill="FFFFFF" w:themeFill="background1"/>
        <w:spacing w:before="120" w:after="120" w:line="276" w:lineRule="auto"/>
        <w:jc w:val="both"/>
        <w:rPr>
          <w:rFonts w:ascii="Arial" w:eastAsia="Times New Roman" w:hAnsi="Arial" w:cs="Arial"/>
          <w:lang w:eastAsia="en-AU"/>
        </w:rPr>
      </w:pPr>
      <w:r w:rsidRPr="278D5247">
        <w:rPr>
          <w:rFonts w:ascii="Arial" w:eastAsia="Times New Roman" w:hAnsi="Arial" w:cs="Arial"/>
          <w:lang w:eastAsia="en-AU"/>
        </w:rPr>
        <w:t xml:space="preserve">Increase resources for young people, parents, teachers and health professionals to promote positive body image and challenge the objectification and sexualisation </w:t>
      </w:r>
      <w:r w:rsidRPr="50636BDD">
        <w:rPr>
          <w:rFonts w:ascii="Arial" w:eastAsia="Times New Roman" w:hAnsi="Arial" w:cs="Arial"/>
          <w:lang w:eastAsia="en-AU"/>
        </w:rPr>
        <w:t>of</w:t>
      </w:r>
      <w:r>
        <w:rPr>
          <w:rFonts w:ascii="Arial" w:eastAsia="Times New Roman" w:hAnsi="Arial" w:cs="Arial"/>
          <w:lang w:eastAsia="en-AU"/>
        </w:rPr>
        <w:t xml:space="preserve"> young women.</w:t>
      </w:r>
    </w:p>
    <w:p w14:paraId="3E6308C6" w14:textId="6BCB0DF1" w:rsidR="63274BD3" w:rsidRPr="008802A1" w:rsidRDefault="1742ECD2" w:rsidP="00A71BE1">
      <w:pPr>
        <w:numPr>
          <w:ilvl w:val="0"/>
          <w:numId w:val="10"/>
        </w:numPr>
        <w:shd w:val="clear" w:color="auto" w:fill="FFFFFF" w:themeFill="background1"/>
        <w:spacing w:before="120" w:after="120" w:line="276" w:lineRule="auto"/>
        <w:jc w:val="both"/>
        <w:rPr>
          <w:rFonts w:ascii="Arial" w:eastAsia="Times New Roman" w:hAnsi="Arial" w:cs="Arial"/>
          <w:lang w:eastAsia="en-AU"/>
        </w:rPr>
      </w:pPr>
      <w:r w:rsidRPr="008802A1">
        <w:rPr>
          <w:rFonts w:ascii="Arial" w:eastAsia="Times New Roman" w:hAnsi="Arial" w:cs="Arial"/>
          <w:lang w:eastAsia="en-AU"/>
        </w:rPr>
        <w:t>Advocate for improved representation of women and girls in public spaces, including through</w:t>
      </w:r>
      <w:r w:rsidR="008802A1" w:rsidRPr="008802A1">
        <w:rPr>
          <w:rFonts w:ascii="Arial" w:eastAsia="Times New Roman" w:hAnsi="Arial" w:cs="Arial"/>
          <w:lang w:eastAsia="en-AU"/>
        </w:rPr>
        <w:t xml:space="preserve"> efforts to promote gender equality in media and advertising</w:t>
      </w:r>
      <w:r w:rsidRPr="008802A1">
        <w:rPr>
          <w:rFonts w:ascii="Arial" w:eastAsia="Times New Roman" w:hAnsi="Arial" w:cs="Arial"/>
          <w:lang w:eastAsia="en-AU"/>
        </w:rPr>
        <w:t>.</w:t>
      </w:r>
    </w:p>
    <w:p w14:paraId="39504ACA" w14:textId="60CB06C1" w:rsidR="002F48D7" w:rsidRPr="002F48D7" w:rsidRDefault="00B33FFD" w:rsidP="00A71BE1">
      <w:pPr>
        <w:spacing w:before="120" w:after="120" w:line="276" w:lineRule="auto"/>
        <w:jc w:val="both"/>
        <w:rPr>
          <w:rFonts w:ascii="Arial" w:hAnsi="Arial" w:cs="Arial"/>
          <w:color w:val="ED7D31" w:themeColor="accent2"/>
          <w:sz w:val="24"/>
          <w:szCs w:val="24"/>
        </w:rPr>
      </w:pPr>
      <w:r>
        <w:rPr>
          <w:rFonts w:ascii="Arial" w:hAnsi="Arial" w:cs="Arial"/>
          <w:color w:val="ED7D31" w:themeColor="accent2"/>
          <w:sz w:val="24"/>
          <w:szCs w:val="24"/>
        </w:rPr>
        <w:t xml:space="preserve">Recommendation 7: </w:t>
      </w:r>
      <w:r w:rsidR="002F48D7" w:rsidRPr="002F48D7">
        <w:rPr>
          <w:rFonts w:ascii="Arial" w:hAnsi="Arial" w:cs="Arial"/>
          <w:color w:val="ED7D31" w:themeColor="accent2"/>
          <w:sz w:val="24"/>
          <w:szCs w:val="24"/>
        </w:rPr>
        <w:t>Focus on health, not weight</w:t>
      </w:r>
      <w:r w:rsidR="00AD70A2">
        <w:rPr>
          <w:rFonts w:ascii="Arial" w:hAnsi="Arial" w:cs="Arial"/>
          <w:color w:val="ED7D31" w:themeColor="accent2"/>
          <w:sz w:val="24"/>
          <w:szCs w:val="24"/>
        </w:rPr>
        <w:t xml:space="preserve"> in all interventions that aim to improve young women’s physical health</w:t>
      </w:r>
    </w:p>
    <w:bookmarkEnd w:id="30"/>
    <w:p w14:paraId="7F3A1670" w14:textId="3A985B0D" w:rsidR="008802A1" w:rsidRPr="00A71BE1" w:rsidRDefault="00706CD3" w:rsidP="00A71BE1">
      <w:pPr>
        <w:numPr>
          <w:ilvl w:val="0"/>
          <w:numId w:val="10"/>
        </w:numPr>
        <w:shd w:val="clear" w:color="auto" w:fill="FFFFFF" w:themeFill="background1"/>
        <w:spacing w:before="120" w:after="120" w:line="276" w:lineRule="auto"/>
        <w:jc w:val="both"/>
        <w:rPr>
          <w:rFonts w:ascii="Arial" w:eastAsia="Times New Roman" w:hAnsi="Arial" w:cs="Arial"/>
          <w:lang w:eastAsia="en-AU"/>
        </w:rPr>
      </w:pPr>
      <w:r>
        <w:rPr>
          <w:rFonts w:ascii="Arial" w:eastAsia="Times New Roman" w:hAnsi="Arial" w:cs="Arial"/>
          <w:lang w:eastAsia="en-AU"/>
        </w:rPr>
        <w:lastRenderedPageBreak/>
        <w:t>Ensure p</w:t>
      </w:r>
      <w:r w:rsidR="002F48D7" w:rsidRPr="002F48D7">
        <w:rPr>
          <w:rFonts w:ascii="Arial" w:eastAsia="Times New Roman" w:hAnsi="Arial" w:cs="Arial"/>
          <w:lang w:eastAsia="en-AU"/>
        </w:rPr>
        <w:t>ublic health policy and health promotion focus</w:t>
      </w:r>
      <w:r>
        <w:rPr>
          <w:rFonts w:ascii="Arial" w:eastAsia="Times New Roman" w:hAnsi="Arial" w:cs="Arial"/>
          <w:lang w:eastAsia="en-AU"/>
        </w:rPr>
        <w:t>es</w:t>
      </w:r>
      <w:r w:rsidR="002F48D7" w:rsidRPr="002F48D7">
        <w:rPr>
          <w:rFonts w:ascii="Arial" w:eastAsia="Times New Roman" w:hAnsi="Arial" w:cs="Arial"/>
          <w:lang w:eastAsia="en-AU"/>
        </w:rPr>
        <w:t xml:space="preserve"> on health, not weight</w:t>
      </w:r>
      <w:r>
        <w:rPr>
          <w:rFonts w:ascii="Arial" w:eastAsia="Times New Roman" w:hAnsi="Arial" w:cs="Arial"/>
          <w:lang w:eastAsia="en-AU"/>
        </w:rPr>
        <w:t>, and actively reduces weight stigma.</w:t>
      </w:r>
      <w:bookmarkEnd w:id="31"/>
    </w:p>
    <w:p w14:paraId="02D29DE9" w14:textId="77777777" w:rsidR="00A71BE1" w:rsidRDefault="00A71BE1">
      <w:pPr>
        <w:rPr>
          <w:rFonts w:ascii="Arial" w:eastAsiaTheme="majorEastAsia" w:hAnsi="Arial" w:cstheme="majorBidi"/>
          <w:b/>
          <w:color w:val="ED7D31" w:themeColor="accent2"/>
          <w:sz w:val="36"/>
          <w:szCs w:val="32"/>
        </w:rPr>
      </w:pPr>
      <w:r>
        <w:br w:type="page"/>
      </w:r>
    </w:p>
    <w:p w14:paraId="38F6D49B" w14:textId="01E9D665" w:rsidR="00943202" w:rsidRPr="00626C56" w:rsidRDefault="00241CEC" w:rsidP="00D44B01">
      <w:pPr>
        <w:pStyle w:val="Heading1"/>
        <w:spacing w:after="120"/>
        <w:jc w:val="both"/>
      </w:pPr>
      <w:bookmarkStart w:id="33" w:name="_Toc59045883"/>
      <w:r w:rsidRPr="00626C56">
        <w:lastRenderedPageBreak/>
        <w:t xml:space="preserve">Sexual and </w:t>
      </w:r>
      <w:r w:rsidR="0067568D">
        <w:t>r</w:t>
      </w:r>
      <w:r w:rsidRPr="00626C56">
        <w:t xml:space="preserve">eproductive </w:t>
      </w:r>
      <w:r w:rsidR="0067568D">
        <w:t>h</w:t>
      </w:r>
      <w:r w:rsidRPr="00626C56">
        <w:t>ealth</w:t>
      </w:r>
      <w:bookmarkEnd w:id="33"/>
    </w:p>
    <w:p w14:paraId="1A1FCFF4" w14:textId="062385CC" w:rsidR="00574CC3" w:rsidRPr="00706CD3" w:rsidRDefault="00943202" w:rsidP="00D44B01">
      <w:pPr>
        <w:pStyle w:val="Heading2"/>
        <w:spacing w:after="120"/>
        <w:jc w:val="both"/>
        <w:rPr>
          <w:b/>
          <w:bCs/>
        </w:rPr>
      </w:pPr>
      <w:bookmarkStart w:id="34" w:name="_Toc59045884"/>
      <w:r w:rsidRPr="00706CD3">
        <w:rPr>
          <w:b/>
          <w:bCs/>
        </w:rPr>
        <w:t>O</w:t>
      </w:r>
      <w:r w:rsidR="002716AE" w:rsidRPr="00706CD3">
        <w:rPr>
          <w:b/>
          <w:bCs/>
        </w:rPr>
        <w:t>verview</w:t>
      </w:r>
      <w:bookmarkEnd w:id="34"/>
      <w:r w:rsidR="002716AE" w:rsidRPr="00706CD3">
        <w:rPr>
          <w:b/>
          <w:bCs/>
        </w:rPr>
        <w:t xml:space="preserve"> </w:t>
      </w:r>
    </w:p>
    <w:p w14:paraId="61E12888" w14:textId="5E66C4EE" w:rsidR="00706CD3" w:rsidRDefault="006A18F9" w:rsidP="008802A1">
      <w:pPr>
        <w:spacing w:after="120" w:line="276" w:lineRule="auto"/>
        <w:jc w:val="both"/>
        <w:rPr>
          <w:rFonts w:ascii="Arial" w:hAnsi="Arial" w:cs="Arial"/>
        </w:rPr>
      </w:pPr>
      <w:r>
        <w:rPr>
          <w:rFonts w:ascii="Arial" w:hAnsi="Arial" w:cs="Arial"/>
        </w:rPr>
        <w:t>Good</w:t>
      </w:r>
      <w:r w:rsidR="00706CD3">
        <w:rPr>
          <w:rFonts w:ascii="Arial" w:hAnsi="Arial" w:cs="Arial"/>
        </w:rPr>
        <w:t xml:space="preserve"> s</w:t>
      </w:r>
      <w:r w:rsidR="00E8221B" w:rsidRPr="00706CD3">
        <w:rPr>
          <w:rFonts w:ascii="Arial" w:hAnsi="Arial" w:cs="Arial"/>
        </w:rPr>
        <w:t xml:space="preserve">exual </w:t>
      </w:r>
      <w:r w:rsidR="007A30CD" w:rsidRPr="00706CD3">
        <w:rPr>
          <w:rFonts w:ascii="Arial" w:hAnsi="Arial" w:cs="Arial"/>
        </w:rPr>
        <w:t>and reproductive health</w:t>
      </w:r>
      <w:r w:rsidR="00706CD3">
        <w:rPr>
          <w:rFonts w:ascii="Arial" w:hAnsi="Arial" w:cs="Arial"/>
        </w:rPr>
        <w:t xml:space="preserve"> </w:t>
      </w:r>
      <w:r w:rsidR="007A30CD" w:rsidRPr="00706CD3">
        <w:rPr>
          <w:rFonts w:ascii="Arial" w:hAnsi="Arial" w:cs="Arial"/>
        </w:rPr>
        <w:t xml:space="preserve">refers to </w:t>
      </w:r>
      <w:r w:rsidR="00706CD3">
        <w:rPr>
          <w:rFonts w:ascii="Arial" w:hAnsi="Arial" w:cs="Arial"/>
        </w:rPr>
        <w:t xml:space="preserve">the </w:t>
      </w:r>
      <w:r w:rsidR="007A30CD" w:rsidRPr="00706CD3">
        <w:rPr>
          <w:rFonts w:ascii="Arial" w:hAnsi="Arial" w:cs="Arial"/>
        </w:rPr>
        <w:t xml:space="preserve">ability to manage fertility, have safe, </w:t>
      </w:r>
      <w:r w:rsidR="00F07759" w:rsidRPr="00706CD3">
        <w:rPr>
          <w:rFonts w:ascii="Arial" w:hAnsi="Arial" w:cs="Arial"/>
        </w:rPr>
        <w:t>respectful,</w:t>
      </w:r>
      <w:r w:rsidR="007A30CD" w:rsidRPr="00706CD3">
        <w:rPr>
          <w:rFonts w:ascii="Arial" w:hAnsi="Arial" w:cs="Arial"/>
        </w:rPr>
        <w:t xml:space="preserve"> and pleasurable sexual relationships, and access essential health services such as contraception and abortion. It also includes the experience and treatment of specific reproductive health conditions such as polycystic ovarian syndrome and endometriosis. </w:t>
      </w:r>
    </w:p>
    <w:p w14:paraId="7C1B0109" w14:textId="6E2DBB43" w:rsidR="0077281D" w:rsidRPr="00706CD3" w:rsidRDefault="007A30CD" w:rsidP="008802A1">
      <w:pPr>
        <w:spacing w:after="120" w:line="276" w:lineRule="auto"/>
        <w:jc w:val="both"/>
        <w:rPr>
          <w:rFonts w:ascii="Arial" w:hAnsi="Arial" w:cs="Arial"/>
        </w:rPr>
      </w:pPr>
      <w:r w:rsidRPr="00706CD3">
        <w:rPr>
          <w:rFonts w:ascii="Arial" w:hAnsi="Arial" w:cs="Arial"/>
        </w:rPr>
        <w:t>Adolescence is a time of significant physical, emotional and social change for young women</w:t>
      </w:r>
      <w:r w:rsidR="00E85DDD" w:rsidRPr="00706CD3">
        <w:rPr>
          <w:rFonts w:ascii="Arial" w:hAnsi="Arial" w:cs="Arial"/>
        </w:rPr>
        <w:t xml:space="preserve"> and it is important </w:t>
      </w:r>
      <w:r w:rsidR="006A18F9">
        <w:rPr>
          <w:rFonts w:ascii="Arial" w:hAnsi="Arial" w:cs="Arial"/>
        </w:rPr>
        <w:t>they</w:t>
      </w:r>
      <w:r w:rsidR="00E85DDD" w:rsidRPr="00706CD3">
        <w:rPr>
          <w:rFonts w:ascii="Arial" w:hAnsi="Arial" w:cs="Arial"/>
        </w:rPr>
        <w:t xml:space="preserve"> have adequate access to </w:t>
      </w:r>
      <w:r w:rsidR="00706CD3">
        <w:rPr>
          <w:rFonts w:ascii="Arial" w:hAnsi="Arial" w:cs="Arial"/>
        </w:rPr>
        <w:t>appropriate</w:t>
      </w:r>
      <w:r w:rsidR="00E85DDD" w:rsidRPr="00706CD3">
        <w:rPr>
          <w:rFonts w:ascii="Arial" w:hAnsi="Arial" w:cs="Arial"/>
        </w:rPr>
        <w:t xml:space="preserve"> sexual and reproductive health information and services</w:t>
      </w:r>
      <w:r w:rsidR="00706CD3">
        <w:rPr>
          <w:rFonts w:ascii="Arial" w:hAnsi="Arial" w:cs="Arial"/>
        </w:rPr>
        <w:t>.</w:t>
      </w:r>
      <w:r w:rsidR="00BE3D26" w:rsidRPr="00706CD3">
        <w:rPr>
          <w:rStyle w:val="FootnoteReference"/>
          <w:rFonts w:ascii="Arial" w:hAnsi="Arial" w:cs="Arial"/>
        </w:rPr>
        <w:footnoteReference w:id="125"/>
      </w:r>
      <w:r w:rsidR="00E85DDD" w:rsidRPr="00706CD3">
        <w:rPr>
          <w:rFonts w:ascii="Arial" w:hAnsi="Arial" w:cs="Arial"/>
        </w:rPr>
        <w:t xml:space="preserve"> </w:t>
      </w:r>
      <w:r w:rsidR="00A71BE1" w:rsidRPr="00A71BE1">
        <w:rPr>
          <w:rFonts w:ascii="Arial" w:hAnsi="Arial" w:cs="Arial"/>
        </w:rPr>
        <w:t xml:space="preserve">Comprehensive sexuality education has been shown to be protective for young people's ongoing sexual health: delaying first sexual experience, and </w:t>
      </w:r>
      <w:r w:rsidR="00A71BE1">
        <w:rPr>
          <w:rFonts w:ascii="Arial" w:hAnsi="Arial" w:cs="Arial"/>
        </w:rPr>
        <w:t xml:space="preserve">promoting </w:t>
      </w:r>
      <w:r w:rsidR="00A71BE1" w:rsidRPr="00A71BE1">
        <w:rPr>
          <w:rFonts w:ascii="Arial" w:hAnsi="Arial" w:cs="Arial"/>
        </w:rPr>
        <w:t>more effective use of contraception.</w:t>
      </w:r>
      <w:r w:rsidR="00A71BE1" w:rsidRPr="00A71BE1">
        <w:rPr>
          <w:rStyle w:val="FootnoteReference"/>
          <w:rFonts w:ascii="Arial" w:hAnsi="Arial" w:cs="Arial"/>
        </w:rPr>
        <w:footnoteReference w:id="126"/>
      </w:r>
      <w:r w:rsidR="00A71BE1">
        <w:t xml:space="preserve"> </w:t>
      </w:r>
    </w:p>
    <w:p w14:paraId="151DD2D3" w14:textId="0193DE9F" w:rsidR="00E85DDD" w:rsidRPr="00706CD3" w:rsidRDefault="00E85DDD" w:rsidP="008802A1">
      <w:pPr>
        <w:spacing w:after="120" w:line="276" w:lineRule="auto"/>
        <w:jc w:val="both"/>
        <w:rPr>
          <w:rFonts w:ascii="Arial" w:hAnsi="Arial" w:cs="Arial"/>
        </w:rPr>
      </w:pPr>
      <w:r w:rsidRPr="00706CD3">
        <w:rPr>
          <w:rFonts w:ascii="Arial" w:hAnsi="Arial" w:cs="Arial"/>
        </w:rPr>
        <w:t xml:space="preserve">Young women’s sexual and reproductive health issues are often </w:t>
      </w:r>
      <w:r w:rsidR="000F3153">
        <w:rPr>
          <w:rFonts w:ascii="Arial" w:hAnsi="Arial" w:cs="Arial"/>
        </w:rPr>
        <w:t xml:space="preserve">neglected or </w:t>
      </w:r>
      <w:r w:rsidRPr="00706CD3">
        <w:rPr>
          <w:rFonts w:ascii="Arial" w:hAnsi="Arial" w:cs="Arial"/>
        </w:rPr>
        <w:t xml:space="preserve">ignored by health practitioners and </w:t>
      </w:r>
      <w:r w:rsidR="00D27C2F" w:rsidRPr="00706CD3">
        <w:rPr>
          <w:rFonts w:ascii="Arial" w:hAnsi="Arial" w:cs="Arial"/>
        </w:rPr>
        <w:t xml:space="preserve">absent </w:t>
      </w:r>
      <w:r w:rsidR="00706CD3">
        <w:rPr>
          <w:rFonts w:ascii="Arial" w:hAnsi="Arial" w:cs="Arial"/>
        </w:rPr>
        <w:t>from</w:t>
      </w:r>
      <w:r w:rsidR="00D27C2F" w:rsidRPr="00706CD3">
        <w:rPr>
          <w:rFonts w:ascii="Arial" w:hAnsi="Arial" w:cs="Arial"/>
        </w:rPr>
        <w:t xml:space="preserve"> </w:t>
      </w:r>
      <w:r w:rsidRPr="00706CD3">
        <w:rPr>
          <w:rFonts w:ascii="Arial" w:hAnsi="Arial" w:cs="Arial"/>
        </w:rPr>
        <w:t xml:space="preserve">school sexuality </w:t>
      </w:r>
      <w:r w:rsidR="00287198">
        <w:rPr>
          <w:rFonts w:ascii="Arial" w:hAnsi="Arial" w:cs="Arial"/>
        </w:rPr>
        <w:t xml:space="preserve">and relationships </w:t>
      </w:r>
      <w:r w:rsidRPr="00706CD3">
        <w:rPr>
          <w:rFonts w:ascii="Arial" w:hAnsi="Arial" w:cs="Arial"/>
        </w:rPr>
        <w:t>education</w:t>
      </w:r>
      <w:r w:rsidR="00D27C2F" w:rsidRPr="00706CD3">
        <w:rPr>
          <w:rFonts w:ascii="Arial" w:hAnsi="Arial" w:cs="Arial"/>
        </w:rPr>
        <w:t>. H</w:t>
      </w:r>
      <w:r w:rsidRPr="00706CD3">
        <w:rPr>
          <w:rFonts w:ascii="Arial" w:hAnsi="Arial" w:cs="Arial"/>
        </w:rPr>
        <w:t xml:space="preserve">armful gendered attitudes and </w:t>
      </w:r>
      <w:r w:rsidR="00D27C2F" w:rsidRPr="00706CD3">
        <w:rPr>
          <w:rFonts w:ascii="Arial" w:hAnsi="Arial" w:cs="Arial"/>
        </w:rPr>
        <w:t>norms</w:t>
      </w:r>
      <w:r w:rsidRPr="00706CD3">
        <w:rPr>
          <w:rFonts w:ascii="Arial" w:hAnsi="Arial" w:cs="Arial"/>
        </w:rPr>
        <w:t xml:space="preserve"> persist</w:t>
      </w:r>
      <w:r w:rsidR="00D27C2F" w:rsidRPr="00706CD3">
        <w:rPr>
          <w:rFonts w:ascii="Arial" w:hAnsi="Arial" w:cs="Arial"/>
        </w:rPr>
        <w:t xml:space="preserve"> that impact young women’s sexual and reproductive health</w:t>
      </w:r>
      <w:r w:rsidR="00706CD3">
        <w:rPr>
          <w:rFonts w:ascii="Arial" w:hAnsi="Arial" w:cs="Arial"/>
        </w:rPr>
        <w:t>, for example</w:t>
      </w:r>
      <w:r w:rsidR="006A18F9">
        <w:rPr>
          <w:rFonts w:ascii="Arial" w:hAnsi="Arial" w:cs="Arial"/>
        </w:rPr>
        <w:t>,</w:t>
      </w:r>
      <w:r w:rsidR="00706CD3">
        <w:rPr>
          <w:rFonts w:ascii="Arial" w:hAnsi="Arial" w:cs="Arial"/>
        </w:rPr>
        <w:t xml:space="preserve"> that</w:t>
      </w:r>
      <w:r w:rsidRPr="00706CD3">
        <w:rPr>
          <w:rFonts w:ascii="Arial" w:hAnsi="Arial" w:cs="Arial"/>
        </w:rPr>
        <w:t xml:space="preserve"> preventing pregnancy is the </w:t>
      </w:r>
      <w:r w:rsidR="00706CD3">
        <w:rPr>
          <w:rFonts w:ascii="Arial" w:hAnsi="Arial" w:cs="Arial"/>
        </w:rPr>
        <w:t xml:space="preserve">young woman’s </w:t>
      </w:r>
      <w:r w:rsidRPr="00706CD3">
        <w:rPr>
          <w:rFonts w:ascii="Arial" w:hAnsi="Arial" w:cs="Arial"/>
        </w:rPr>
        <w:t>responsibility</w:t>
      </w:r>
      <w:r w:rsidR="00706CD3">
        <w:rPr>
          <w:rFonts w:ascii="Arial" w:hAnsi="Arial" w:cs="Arial"/>
        </w:rPr>
        <w:t xml:space="preserve"> </w:t>
      </w:r>
      <w:r w:rsidR="00D27C2F" w:rsidRPr="00706CD3">
        <w:rPr>
          <w:rFonts w:ascii="Arial" w:hAnsi="Arial" w:cs="Arial"/>
        </w:rPr>
        <w:t xml:space="preserve">and </w:t>
      </w:r>
      <w:r w:rsidR="00706CD3">
        <w:rPr>
          <w:rFonts w:ascii="Arial" w:hAnsi="Arial" w:cs="Arial"/>
        </w:rPr>
        <w:t xml:space="preserve">that </w:t>
      </w:r>
      <w:r w:rsidR="00D27C2F" w:rsidRPr="00706CD3">
        <w:rPr>
          <w:rFonts w:ascii="Arial" w:hAnsi="Arial" w:cs="Arial"/>
        </w:rPr>
        <w:t>intense period pain is normal</w:t>
      </w:r>
      <w:r w:rsidRPr="00706CD3">
        <w:rPr>
          <w:rFonts w:ascii="Arial" w:hAnsi="Arial" w:cs="Arial"/>
        </w:rPr>
        <w:t xml:space="preserve">. Numerous barriers </w:t>
      </w:r>
      <w:r w:rsidR="00706CD3">
        <w:rPr>
          <w:rFonts w:ascii="Arial" w:hAnsi="Arial" w:cs="Arial"/>
        </w:rPr>
        <w:t xml:space="preserve">also </w:t>
      </w:r>
      <w:r w:rsidRPr="00706CD3">
        <w:rPr>
          <w:rFonts w:ascii="Arial" w:hAnsi="Arial" w:cs="Arial"/>
        </w:rPr>
        <w:t xml:space="preserve">exist for young people accessing sexual and reproductive health services, </w:t>
      </w:r>
      <w:r w:rsidR="00706CD3">
        <w:rPr>
          <w:rFonts w:ascii="Arial" w:hAnsi="Arial" w:cs="Arial"/>
        </w:rPr>
        <w:t xml:space="preserve">including </w:t>
      </w:r>
      <w:r w:rsidR="000C7B16">
        <w:rPr>
          <w:rFonts w:ascii="Arial" w:hAnsi="Arial" w:cs="Arial"/>
        </w:rPr>
        <w:t>lack of confidentiality, stigma and cost</w:t>
      </w:r>
      <w:r w:rsidR="00706CD3">
        <w:rPr>
          <w:rFonts w:ascii="Arial" w:hAnsi="Arial" w:cs="Arial"/>
        </w:rPr>
        <w:t xml:space="preserve">, </w:t>
      </w:r>
      <w:r w:rsidRPr="00706CD3">
        <w:rPr>
          <w:rFonts w:ascii="Arial" w:hAnsi="Arial" w:cs="Arial"/>
        </w:rPr>
        <w:t xml:space="preserve">and </w:t>
      </w:r>
      <w:r w:rsidR="00706CD3">
        <w:rPr>
          <w:rFonts w:ascii="Arial" w:hAnsi="Arial" w:cs="Arial"/>
        </w:rPr>
        <w:t xml:space="preserve">these </w:t>
      </w:r>
      <w:r w:rsidRPr="00706CD3">
        <w:rPr>
          <w:rFonts w:ascii="Arial" w:hAnsi="Arial" w:cs="Arial"/>
        </w:rPr>
        <w:t xml:space="preserve">barriers are heightened for those in rural and regional areas. </w:t>
      </w:r>
    </w:p>
    <w:p w14:paraId="31E64169" w14:textId="561E00FD" w:rsidR="0077281D" w:rsidRPr="00706CD3" w:rsidRDefault="00E85DDD" w:rsidP="008802A1">
      <w:pPr>
        <w:spacing w:after="120" w:line="276" w:lineRule="auto"/>
        <w:jc w:val="both"/>
        <w:rPr>
          <w:rFonts w:ascii="Arial" w:hAnsi="Arial" w:cs="Arial"/>
        </w:rPr>
      </w:pPr>
      <w:r w:rsidRPr="00706CD3">
        <w:rPr>
          <w:rFonts w:ascii="Arial" w:hAnsi="Arial" w:cs="Arial"/>
        </w:rPr>
        <w:t xml:space="preserve">The Victorian Youth Strategy </w:t>
      </w:r>
      <w:r w:rsidR="000F3153">
        <w:rPr>
          <w:rFonts w:ascii="Arial" w:hAnsi="Arial" w:cs="Arial"/>
        </w:rPr>
        <w:t xml:space="preserve">should </w:t>
      </w:r>
      <w:r w:rsidR="000C7B16">
        <w:rPr>
          <w:rFonts w:ascii="Arial" w:hAnsi="Arial" w:cs="Arial"/>
        </w:rPr>
        <w:t>include an</w:t>
      </w:r>
      <w:r w:rsidR="000F3153">
        <w:rPr>
          <w:rFonts w:ascii="Arial" w:hAnsi="Arial" w:cs="Arial"/>
        </w:rPr>
        <w:t xml:space="preserve"> increased emphasis on </w:t>
      </w:r>
      <w:r w:rsidR="00C2268C" w:rsidRPr="00706CD3">
        <w:rPr>
          <w:rFonts w:ascii="Arial" w:hAnsi="Arial" w:cs="Arial"/>
        </w:rPr>
        <w:t xml:space="preserve">young </w:t>
      </w:r>
      <w:r w:rsidR="008C06B3" w:rsidRPr="00706CD3">
        <w:rPr>
          <w:rFonts w:ascii="Arial" w:hAnsi="Arial" w:cs="Arial"/>
        </w:rPr>
        <w:t>people’s</w:t>
      </w:r>
      <w:r w:rsidR="00C2268C" w:rsidRPr="00706CD3">
        <w:rPr>
          <w:rFonts w:ascii="Arial" w:hAnsi="Arial" w:cs="Arial"/>
        </w:rPr>
        <w:t xml:space="preserve"> sexual and reproductive health</w:t>
      </w:r>
      <w:r w:rsidR="000F3153">
        <w:rPr>
          <w:rFonts w:ascii="Arial" w:hAnsi="Arial" w:cs="Arial"/>
        </w:rPr>
        <w:t>, including</w:t>
      </w:r>
      <w:r w:rsidR="00C2268C" w:rsidRPr="00706CD3">
        <w:rPr>
          <w:rFonts w:ascii="Arial" w:hAnsi="Arial" w:cs="Arial"/>
        </w:rPr>
        <w:t xml:space="preserve"> the specific needs of young women. </w:t>
      </w:r>
      <w:r w:rsidR="000F3153">
        <w:rPr>
          <w:rFonts w:ascii="Arial" w:hAnsi="Arial" w:cs="Arial"/>
        </w:rPr>
        <w:t xml:space="preserve">Key </w:t>
      </w:r>
      <w:r w:rsidR="000C7B16">
        <w:rPr>
          <w:rFonts w:ascii="Arial" w:hAnsi="Arial" w:cs="Arial"/>
        </w:rPr>
        <w:t>priorities</w:t>
      </w:r>
      <w:r w:rsidR="000F3153">
        <w:rPr>
          <w:rFonts w:ascii="Arial" w:hAnsi="Arial" w:cs="Arial"/>
        </w:rPr>
        <w:t xml:space="preserve"> include </w:t>
      </w:r>
      <w:r w:rsidR="000C7B16">
        <w:rPr>
          <w:rFonts w:ascii="Arial" w:hAnsi="Arial" w:cs="Arial"/>
        </w:rPr>
        <w:t xml:space="preserve">a renewed focus on comprehensive sexuality and relationships education and </w:t>
      </w:r>
      <w:r w:rsidR="00E56601">
        <w:rPr>
          <w:rFonts w:ascii="Arial" w:hAnsi="Arial" w:cs="Arial"/>
        </w:rPr>
        <w:t xml:space="preserve">improved access to youth-friendly, inclusive sexual and reproductive health services for young </w:t>
      </w:r>
      <w:r w:rsidR="000C7B16">
        <w:rPr>
          <w:rFonts w:ascii="Arial" w:hAnsi="Arial" w:cs="Arial"/>
        </w:rPr>
        <w:t xml:space="preserve">people across Victoria, with a focus on young </w:t>
      </w:r>
      <w:r w:rsidR="00E56601">
        <w:rPr>
          <w:rFonts w:ascii="Arial" w:hAnsi="Arial" w:cs="Arial"/>
        </w:rPr>
        <w:t xml:space="preserve">women in rural and regional areas, young women with disabilities, young migrant and refugee women, young Aboriginal and Torres Strait Islander women and young people with diverse gender identities and sexual orientations. </w:t>
      </w:r>
    </w:p>
    <w:p w14:paraId="345E75C1" w14:textId="1FE35B3D" w:rsidR="00E93B38" w:rsidRPr="00706CD3" w:rsidRDefault="00E93B38" w:rsidP="008802A1">
      <w:pPr>
        <w:spacing w:after="120" w:line="276" w:lineRule="auto"/>
        <w:jc w:val="both"/>
        <w:rPr>
          <w:rFonts w:ascii="Arial" w:hAnsi="Arial" w:cs="Arial"/>
        </w:rPr>
      </w:pPr>
      <w:r w:rsidRPr="00706CD3">
        <w:rPr>
          <w:rFonts w:ascii="Arial" w:hAnsi="Arial" w:cs="Arial"/>
        </w:rPr>
        <w:t xml:space="preserve">The below sections focus on </w:t>
      </w:r>
      <w:r w:rsidR="00CC3950">
        <w:rPr>
          <w:rFonts w:ascii="Arial" w:hAnsi="Arial" w:cs="Arial"/>
        </w:rPr>
        <w:t xml:space="preserve">sexuality and relationships education, </w:t>
      </w:r>
      <w:r w:rsidRPr="00706CD3">
        <w:rPr>
          <w:rFonts w:ascii="Arial" w:hAnsi="Arial" w:cs="Arial"/>
        </w:rPr>
        <w:t>period and pelvic pain</w:t>
      </w:r>
      <w:r w:rsidR="008C06B3" w:rsidRPr="00706CD3">
        <w:rPr>
          <w:rFonts w:ascii="Arial" w:hAnsi="Arial" w:cs="Arial"/>
        </w:rPr>
        <w:t>,</w:t>
      </w:r>
      <w:r w:rsidRPr="00706CD3">
        <w:rPr>
          <w:rFonts w:ascii="Arial" w:hAnsi="Arial" w:cs="Arial"/>
        </w:rPr>
        <w:t xml:space="preserve"> access to contraception and abortion information and services for young people</w:t>
      </w:r>
      <w:r w:rsidR="001301F7">
        <w:rPr>
          <w:rFonts w:ascii="Arial" w:hAnsi="Arial" w:cs="Arial"/>
        </w:rPr>
        <w:t>, and youth-friendly sexual and reproductive health services</w:t>
      </w:r>
      <w:r w:rsidRPr="00706CD3">
        <w:rPr>
          <w:rFonts w:ascii="Arial" w:hAnsi="Arial" w:cs="Arial"/>
        </w:rPr>
        <w:t xml:space="preserve">. </w:t>
      </w:r>
    </w:p>
    <w:p w14:paraId="654C48EE" w14:textId="66DE7C03" w:rsidR="00CC3950" w:rsidRPr="00CC3950" w:rsidRDefault="00CC3950" w:rsidP="008802A1">
      <w:pPr>
        <w:pStyle w:val="Heading2"/>
        <w:spacing w:before="0" w:after="120" w:line="276" w:lineRule="auto"/>
        <w:jc w:val="both"/>
        <w:rPr>
          <w:b/>
          <w:bCs/>
        </w:rPr>
      </w:pPr>
      <w:bookmarkStart w:id="36" w:name="_Toc59045885"/>
      <w:r w:rsidRPr="00CC3950">
        <w:rPr>
          <w:b/>
          <w:bCs/>
        </w:rPr>
        <w:t>Sexuality and relationships education</w:t>
      </w:r>
      <w:bookmarkEnd w:id="36"/>
    </w:p>
    <w:p w14:paraId="3A96B2AB" w14:textId="7DE6C024" w:rsidR="00CC3950" w:rsidRPr="00706CD3" w:rsidRDefault="00CC3950" w:rsidP="008802A1">
      <w:pPr>
        <w:spacing w:after="120" w:line="276" w:lineRule="auto"/>
        <w:jc w:val="both"/>
        <w:rPr>
          <w:rFonts w:ascii="Arial" w:hAnsi="Arial" w:cs="Arial"/>
        </w:rPr>
      </w:pPr>
      <w:r w:rsidRPr="00706CD3">
        <w:rPr>
          <w:rFonts w:ascii="Arial" w:hAnsi="Arial" w:cs="Arial"/>
          <w:color w:val="000000"/>
        </w:rPr>
        <w:t>Sexuality and relationships education enable</w:t>
      </w:r>
      <w:r>
        <w:rPr>
          <w:rFonts w:ascii="Arial" w:hAnsi="Arial" w:cs="Arial"/>
          <w:color w:val="000000"/>
        </w:rPr>
        <w:t>s</w:t>
      </w:r>
      <w:r w:rsidRPr="00706CD3">
        <w:rPr>
          <w:rFonts w:ascii="Arial" w:hAnsi="Arial" w:cs="Arial"/>
          <w:color w:val="000000"/>
        </w:rPr>
        <w:t xml:space="preserve"> young people to make informed decisions about sex and relationships and can support the prevention of violence against women</w:t>
      </w:r>
      <w:r>
        <w:rPr>
          <w:rFonts w:ascii="Arial" w:hAnsi="Arial" w:cs="Arial"/>
          <w:color w:val="000000"/>
        </w:rPr>
        <w:t>.</w:t>
      </w:r>
      <w:r w:rsidR="0069260D">
        <w:rPr>
          <w:rStyle w:val="FootnoteReference"/>
          <w:rFonts w:ascii="Arial" w:hAnsi="Arial" w:cs="Arial"/>
          <w:color w:val="000000"/>
        </w:rPr>
        <w:footnoteReference w:id="127"/>
      </w:r>
      <w:r w:rsidR="0069260D" w:rsidRPr="00706CD3">
        <w:rPr>
          <w:rFonts w:ascii="Arial" w:hAnsi="Arial" w:cs="Arial"/>
          <w:color w:val="000000"/>
        </w:rPr>
        <w:t xml:space="preserve"> </w:t>
      </w:r>
      <w:r w:rsidR="006A18F9">
        <w:rPr>
          <w:rFonts w:ascii="Arial" w:hAnsi="Arial" w:cs="Arial"/>
        </w:rPr>
        <w:t>A</w:t>
      </w:r>
      <w:r w:rsidR="006A18F9" w:rsidRPr="006A18F9">
        <w:rPr>
          <w:rFonts w:ascii="Arial" w:hAnsi="Arial" w:cs="Arial"/>
        </w:rPr>
        <w:t xml:space="preserve"> recent study shows inconsistency in the delivery of sexuality education across Australia, with </w:t>
      </w:r>
      <w:r w:rsidR="006A18F9" w:rsidRPr="006A18F9">
        <w:rPr>
          <w:rFonts w:ascii="Arial" w:hAnsi="Arial" w:cs="Arial"/>
        </w:rPr>
        <w:lastRenderedPageBreak/>
        <w:t>some young people reporting sufficient education and some reporting none.</w:t>
      </w:r>
      <w:r w:rsidRPr="00706CD3">
        <w:rPr>
          <w:rStyle w:val="FootnoteReference"/>
          <w:rFonts w:ascii="Arial" w:hAnsi="Arial" w:cs="Arial"/>
        </w:rPr>
        <w:footnoteReference w:id="128"/>
      </w:r>
      <w:r w:rsidRPr="00706CD3">
        <w:rPr>
          <w:rFonts w:ascii="Arial" w:hAnsi="Arial" w:cs="Arial"/>
        </w:rPr>
        <w:t xml:space="preserve"> </w:t>
      </w:r>
      <w:r>
        <w:rPr>
          <w:rFonts w:ascii="Arial" w:hAnsi="Arial" w:cs="Arial"/>
        </w:rPr>
        <w:t xml:space="preserve">Young people associated the </w:t>
      </w:r>
      <w:r w:rsidRPr="00706CD3">
        <w:rPr>
          <w:rFonts w:ascii="Arial" w:hAnsi="Arial" w:cs="Arial"/>
        </w:rPr>
        <w:t>inclusion of topics on diverse sexuality with good sexuality education.</w:t>
      </w:r>
      <w:r w:rsidRPr="00706CD3">
        <w:rPr>
          <w:rStyle w:val="FootnoteReference"/>
          <w:rFonts w:ascii="Arial" w:hAnsi="Arial" w:cs="Arial"/>
        </w:rPr>
        <w:footnoteReference w:id="129"/>
      </w:r>
      <w:r w:rsidRPr="00706CD3">
        <w:rPr>
          <w:rFonts w:ascii="Arial" w:hAnsi="Arial" w:cs="Arial"/>
        </w:rPr>
        <w:t xml:space="preserve"> </w:t>
      </w:r>
    </w:p>
    <w:p w14:paraId="42512CA7" w14:textId="609D9C88" w:rsidR="00CC3950" w:rsidRDefault="00CC3950" w:rsidP="008802A1">
      <w:pPr>
        <w:spacing w:after="120" w:line="276" w:lineRule="auto"/>
        <w:jc w:val="both"/>
        <w:rPr>
          <w:rFonts w:ascii="Arial" w:hAnsi="Arial" w:cs="Arial"/>
        </w:rPr>
      </w:pPr>
      <w:r w:rsidRPr="00706CD3">
        <w:rPr>
          <w:rFonts w:ascii="Arial" w:hAnsi="Arial" w:cs="Arial"/>
        </w:rPr>
        <w:t>Key topics highlighted by young people that were often missing in their sex education included</w:t>
      </w:r>
      <w:r w:rsidRPr="717D599A">
        <w:rPr>
          <w:rFonts w:ascii="Arial" w:hAnsi="Arial" w:cs="Arial"/>
          <w:i/>
          <w:iCs/>
        </w:rPr>
        <w:t xml:space="preserve">  </w:t>
      </w:r>
      <w:r w:rsidRPr="00A71BE1">
        <w:rPr>
          <w:rFonts w:ascii="Arial" w:hAnsi="Arial" w:cs="Arial"/>
        </w:rPr>
        <w:t>‘relationships, sexuality and gender diversity, consent and sexual violence, sexually transmissible infections and human immunodeficiency virus prevention across different bodies and sexual practices, and pleasure’</w:t>
      </w:r>
      <w:r w:rsidRPr="00706CD3">
        <w:rPr>
          <w:rFonts w:ascii="Arial" w:hAnsi="Arial" w:cs="Arial"/>
        </w:rPr>
        <w:t>.</w:t>
      </w:r>
      <w:r w:rsidRPr="00706CD3">
        <w:rPr>
          <w:rStyle w:val="FootnoteReference"/>
          <w:rFonts w:ascii="Arial" w:hAnsi="Arial" w:cs="Arial"/>
        </w:rPr>
        <w:footnoteReference w:id="130"/>
      </w:r>
      <w:r w:rsidRPr="00706CD3">
        <w:rPr>
          <w:rFonts w:ascii="Arial" w:hAnsi="Arial" w:cs="Arial"/>
        </w:rPr>
        <w:t xml:space="preserve"> Anecdotal evidence f</w:t>
      </w:r>
      <w:r>
        <w:rPr>
          <w:rFonts w:ascii="Arial" w:hAnsi="Arial" w:cs="Arial"/>
        </w:rPr>
        <w:t>rom WHV’s sexual and reproductive health information and referral service,</w:t>
      </w:r>
      <w:r w:rsidRPr="00706CD3">
        <w:rPr>
          <w:rFonts w:ascii="Arial" w:hAnsi="Arial" w:cs="Arial"/>
        </w:rPr>
        <w:t xml:space="preserve"> </w:t>
      </w:r>
      <w:r w:rsidRPr="717D599A">
        <w:rPr>
          <w:rFonts w:ascii="Arial" w:hAnsi="Arial" w:cs="Arial"/>
          <w:i/>
          <w:iCs/>
        </w:rPr>
        <w:t>1800 My Options</w:t>
      </w:r>
      <w:r>
        <w:rPr>
          <w:rFonts w:ascii="Arial" w:hAnsi="Arial" w:cs="Arial"/>
        </w:rPr>
        <w:t xml:space="preserve">, suggests that </w:t>
      </w:r>
      <w:r w:rsidRPr="00706CD3">
        <w:rPr>
          <w:rFonts w:ascii="Arial" w:hAnsi="Arial" w:cs="Arial"/>
        </w:rPr>
        <w:t xml:space="preserve">education </w:t>
      </w:r>
      <w:r>
        <w:rPr>
          <w:rFonts w:ascii="Arial" w:hAnsi="Arial" w:cs="Arial"/>
        </w:rPr>
        <w:t>about</w:t>
      </w:r>
      <w:r w:rsidRPr="00706CD3">
        <w:rPr>
          <w:rFonts w:ascii="Arial" w:hAnsi="Arial" w:cs="Arial"/>
        </w:rPr>
        <w:t xml:space="preserve"> abortion </w:t>
      </w:r>
      <w:r>
        <w:rPr>
          <w:rFonts w:ascii="Arial" w:hAnsi="Arial" w:cs="Arial"/>
        </w:rPr>
        <w:t>is also lacking from</w:t>
      </w:r>
      <w:r w:rsidRPr="00706CD3">
        <w:rPr>
          <w:rFonts w:ascii="Arial" w:hAnsi="Arial" w:cs="Arial"/>
        </w:rPr>
        <w:t xml:space="preserve"> </w:t>
      </w:r>
      <w:r>
        <w:rPr>
          <w:rFonts w:ascii="Arial" w:hAnsi="Arial" w:cs="Arial"/>
        </w:rPr>
        <w:t xml:space="preserve">Victorian </w:t>
      </w:r>
      <w:r w:rsidRPr="00706CD3">
        <w:rPr>
          <w:rFonts w:ascii="Arial" w:hAnsi="Arial" w:cs="Arial"/>
        </w:rPr>
        <w:t>schools</w:t>
      </w:r>
      <w:r>
        <w:rPr>
          <w:rFonts w:ascii="Arial" w:hAnsi="Arial" w:cs="Arial"/>
        </w:rPr>
        <w:t>’</w:t>
      </w:r>
      <w:r w:rsidRPr="00706CD3">
        <w:rPr>
          <w:rFonts w:ascii="Arial" w:hAnsi="Arial" w:cs="Arial"/>
        </w:rPr>
        <w:t xml:space="preserve"> sexual and reproductive health education programs.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708CB" w14:paraId="69EA4B9C" w14:textId="77777777" w:rsidTr="000239E1">
        <w:tc>
          <w:tcPr>
            <w:tcW w:w="9016" w:type="dxa"/>
            <w:shd w:val="clear" w:color="auto" w:fill="B9FAFF"/>
          </w:tcPr>
          <w:p w14:paraId="6F286460" w14:textId="01D3411B" w:rsidR="009708CB" w:rsidRDefault="009708CB" w:rsidP="008802A1">
            <w:pPr>
              <w:spacing w:after="120" w:line="276" w:lineRule="auto"/>
              <w:rPr>
                <w:rFonts w:ascii="Arial" w:hAnsi="Arial" w:cs="Arial"/>
                <w:b/>
                <w:bCs/>
              </w:rPr>
            </w:pPr>
            <w:bookmarkStart w:id="37" w:name="_Hlk58510297"/>
            <w:r w:rsidRPr="009708CB">
              <w:rPr>
                <w:rFonts w:ascii="Arial" w:hAnsi="Arial" w:cs="Arial"/>
                <w:b/>
                <w:bCs/>
              </w:rPr>
              <w:t xml:space="preserve">Case study: </w:t>
            </w:r>
            <w:bookmarkStart w:id="38" w:name="_Hlk57894049"/>
            <w:r w:rsidRPr="009708CB">
              <w:rPr>
                <w:rFonts w:ascii="Arial" w:hAnsi="Arial" w:cs="Arial"/>
                <w:b/>
                <w:bCs/>
              </w:rPr>
              <w:t>Lack of comprehensive sexuality and relationships education in schools</w:t>
            </w:r>
          </w:p>
          <w:p w14:paraId="7B9FB2E1" w14:textId="1AAAD0E1" w:rsidR="009708CB" w:rsidRDefault="009708CB" w:rsidP="008802A1">
            <w:pPr>
              <w:spacing w:after="120" w:line="276" w:lineRule="auto"/>
              <w:rPr>
                <w:rFonts w:ascii="Arial" w:hAnsi="Arial" w:cs="Arial"/>
              </w:rPr>
            </w:pPr>
            <w:r w:rsidRPr="009708CB">
              <w:rPr>
                <w:rFonts w:ascii="Arial" w:hAnsi="Arial" w:cs="Arial"/>
              </w:rPr>
              <w:t xml:space="preserve">A </w:t>
            </w:r>
            <w:proofErr w:type="gramStart"/>
            <w:r w:rsidRPr="009708CB">
              <w:rPr>
                <w:rFonts w:ascii="Arial" w:hAnsi="Arial" w:cs="Arial"/>
              </w:rPr>
              <w:t>17 year old</w:t>
            </w:r>
            <w:proofErr w:type="gramEnd"/>
            <w:r w:rsidRPr="009708CB">
              <w:rPr>
                <w:rFonts w:ascii="Arial" w:hAnsi="Arial" w:cs="Arial"/>
              </w:rPr>
              <w:t xml:space="preserve"> woman from suburban Melbourne called </w:t>
            </w:r>
            <w:r w:rsidRPr="00D26CB3">
              <w:rPr>
                <w:rFonts w:ascii="Arial" w:hAnsi="Arial" w:cs="Arial"/>
                <w:i/>
                <w:iCs/>
              </w:rPr>
              <w:t>1800 My Options</w:t>
            </w:r>
            <w:r w:rsidRPr="009708CB">
              <w:rPr>
                <w:rFonts w:ascii="Arial" w:hAnsi="Arial" w:cs="Arial"/>
              </w:rPr>
              <w:t xml:space="preserve"> because her period arrived a few days later than expected and she thought she might be pregnant. She had not used oral contraceptives because of fear of side effects. </w:t>
            </w:r>
          </w:p>
          <w:p w14:paraId="389E5341" w14:textId="1BA0B1B9" w:rsidR="009708CB" w:rsidRDefault="009708CB" w:rsidP="008802A1">
            <w:pPr>
              <w:spacing w:after="120" w:line="276" w:lineRule="auto"/>
              <w:rPr>
                <w:rFonts w:ascii="Arial" w:hAnsi="Arial" w:cs="Arial"/>
              </w:rPr>
            </w:pPr>
            <w:r w:rsidRPr="00D26CB3">
              <w:rPr>
                <w:rFonts w:ascii="Arial" w:hAnsi="Arial" w:cs="Arial"/>
                <w:i/>
                <w:iCs/>
              </w:rPr>
              <w:t>1800 My Options</w:t>
            </w:r>
            <w:r w:rsidRPr="009708CB">
              <w:rPr>
                <w:rFonts w:ascii="Arial" w:hAnsi="Arial" w:cs="Arial"/>
              </w:rPr>
              <w:t xml:space="preserve"> educated her about long term acting reversible contraception options and found a youth-friendly low-cost service in her area. </w:t>
            </w:r>
            <w:r w:rsidRPr="00D26CB3">
              <w:rPr>
                <w:rFonts w:ascii="Arial" w:hAnsi="Arial" w:cs="Arial"/>
                <w:i/>
                <w:iCs/>
              </w:rPr>
              <w:t>1800 My Options</w:t>
            </w:r>
            <w:r w:rsidRPr="009708CB">
              <w:rPr>
                <w:rFonts w:ascii="Arial" w:hAnsi="Arial" w:cs="Arial"/>
              </w:rPr>
              <w:t xml:space="preserve"> also educated her around emergency contraception options and abortion options for future reference. </w:t>
            </w:r>
          </w:p>
          <w:p w14:paraId="1857587C" w14:textId="4D3BFFE5" w:rsidR="009708CB" w:rsidRDefault="009708CB" w:rsidP="008802A1">
            <w:pPr>
              <w:spacing w:after="120" w:line="276" w:lineRule="auto"/>
              <w:rPr>
                <w:rFonts w:ascii="Arial" w:hAnsi="Arial" w:cs="Arial"/>
              </w:rPr>
            </w:pPr>
            <w:r w:rsidRPr="009708CB">
              <w:rPr>
                <w:rFonts w:ascii="Arial" w:hAnsi="Arial" w:cs="Arial"/>
              </w:rPr>
              <w:t xml:space="preserve">The caller mentioned that she had not known about these services, and that her school </w:t>
            </w:r>
            <w:r w:rsidR="00587942" w:rsidRPr="009708CB">
              <w:rPr>
                <w:rFonts w:ascii="Arial" w:hAnsi="Arial" w:cs="Arial"/>
              </w:rPr>
              <w:t>sex</w:t>
            </w:r>
            <w:r w:rsidRPr="009708CB">
              <w:rPr>
                <w:rFonts w:ascii="Arial" w:hAnsi="Arial" w:cs="Arial"/>
              </w:rPr>
              <w:t xml:space="preserve"> education had not explained what to do in these situations.</w:t>
            </w:r>
            <w:bookmarkEnd w:id="38"/>
          </w:p>
        </w:tc>
      </w:tr>
    </w:tbl>
    <w:bookmarkEnd w:id="37"/>
    <w:p w14:paraId="1EDF9ABD" w14:textId="103347EA" w:rsidR="00044BFB" w:rsidRDefault="00044BFB" w:rsidP="000239E1">
      <w:pPr>
        <w:spacing w:before="120" w:after="120" w:line="276" w:lineRule="auto"/>
        <w:jc w:val="both"/>
        <w:rPr>
          <w:rFonts w:ascii="Arial" w:hAnsi="Arial" w:cs="Arial"/>
          <w:color w:val="000000"/>
        </w:rPr>
      </w:pPr>
      <w:r w:rsidRPr="3064266E">
        <w:rPr>
          <w:rFonts w:ascii="Arial" w:hAnsi="Arial" w:cs="Arial"/>
          <w:color w:val="000000" w:themeColor="text1"/>
        </w:rPr>
        <w:t>The rollout of a whole of school approach to Respectful Relationships Education in schools</w:t>
      </w:r>
      <w:r w:rsidR="00F0021B" w:rsidRPr="3064266E">
        <w:rPr>
          <w:rFonts w:ascii="Arial" w:hAnsi="Arial" w:cs="Arial"/>
          <w:color w:val="000000" w:themeColor="text1"/>
        </w:rPr>
        <w:t>, represents</w:t>
      </w:r>
      <w:r w:rsidRPr="3064266E">
        <w:rPr>
          <w:rFonts w:ascii="Arial" w:hAnsi="Arial" w:cs="Arial"/>
          <w:color w:val="000000" w:themeColor="text1"/>
        </w:rPr>
        <w:t xml:space="preserve"> significant progress towards a comprehensive approach to sexuality and relationships education. However, </w:t>
      </w:r>
      <w:r w:rsidR="00587942">
        <w:rPr>
          <w:rFonts w:ascii="Arial" w:hAnsi="Arial" w:cs="Arial"/>
          <w:color w:val="000000" w:themeColor="text1"/>
        </w:rPr>
        <w:t>not all</w:t>
      </w:r>
      <w:r w:rsidR="00F0021B" w:rsidRPr="3064266E">
        <w:rPr>
          <w:rFonts w:ascii="Arial" w:hAnsi="Arial" w:cs="Arial"/>
          <w:color w:val="000000" w:themeColor="text1"/>
        </w:rPr>
        <w:t xml:space="preserve"> elements of comprehensive sexuality and relationships education </w:t>
      </w:r>
      <w:r w:rsidR="00587942">
        <w:rPr>
          <w:rFonts w:ascii="Arial" w:hAnsi="Arial" w:cs="Arial"/>
          <w:color w:val="000000" w:themeColor="text1"/>
        </w:rPr>
        <w:t>are taught consistently in schools</w:t>
      </w:r>
      <w:r w:rsidR="00A71BE1">
        <w:rPr>
          <w:rFonts w:ascii="Arial" w:hAnsi="Arial" w:cs="Arial"/>
          <w:color w:val="000000" w:themeColor="text1"/>
        </w:rPr>
        <w:t xml:space="preserve"> or</w:t>
      </w:r>
      <w:r w:rsidR="000239E1">
        <w:rPr>
          <w:rFonts w:ascii="Arial" w:hAnsi="Arial" w:cs="Arial"/>
          <w:color w:val="000000" w:themeColor="text1"/>
        </w:rPr>
        <w:t xml:space="preserve">, in some cases, </w:t>
      </w:r>
      <w:r w:rsidR="00A71BE1">
        <w:rPr>
          <w:rFonts w:ascii="Arial" w:hAnsi="Arial" w:cs="Arial"/>
          <w:color w:val="000000" w:themeColor="text1"/>
        </w:rPr>
        <w:t xml:space="preserve">they are taught too late in the </w:t>
      </w:r>
      <w:r w:rsidR="00A71BE1" w:rsidRPr="000239E1">
        <w:rPr>
          <w:rFonts w:ascii="Arial" w:hAnsi="Arial" w:cs="Arial"/>
          <w:color w:val="000000" w:themeColor="text1"/>
        </w:rPr>
        <w:t xml:space="preserve">curriculum (e.g. </w:t>
      </w:r>
      <w:r w:rsidR="00A71BE1" w:rsidRPr="000239E1">
        <w:rPr>
          <w:rFonts w:ascii="Arial" w:hAnsi="Arial" w:cs="Arial"/>
        </w:rPr>
        <w:t>only offered as an elective in Year 10 or later)</w:t>
      </w:r>
      <w:r w:rsidR="00F0021B" w:rsidRPr="000239E1">
        <w:rPr>
          <w:rFonts w:ascii="Arial" w:hAnsi="Arial" w:cs="Arial"/>
          <w:color w:val="000000" w:themeColor="text1"/>
        </w:rPr>
        <w:t xml:space="preserve">. </w:t>
      </w:r>
      <w:r w:rsidRPr="000239E1">
        <w:rPr>
          <w:rFonts w:ascii="Arial" w:hAnsi="Arial" w:cs="Arial"/>
          <w:color w:val="000000" w:themeColor="text1"/>
        </w:rPr>
        <w:t>Schools</w:t>
      </w:r>
      <w:r w:rsidRPr="3064266E">
        <w:rPr>
          <w:rFonts w:ascii="Arial" w:hAnsi="Arial" w:cs="Arial"/>
          <w:color w:val="000000" w:themeColor="text1"/>
        </w:rPr>
        <w:t xml:space="preserve"> in Victoria </w:t>
      </w:r>
      <w:r w:rsidR="00F0021B" w:rsidRPr="3064266E">
        <w:rPr>
          <w:rFonts w:ascii="Arial" w:hAnsi="Arial" w:cs="Arial"/>
          <w:color w:val="000000" w:themeColor="text1"/>
        </w:rPr>
        <w:t xml:space="preserve">are also inconsistent in their adoption of a ‘whole of school approach’, where </w:t>
      </w:r>
      <w:r w:rsidRPr="3064266E">
        <w:rPr>
          <w:rFonts w:ascii="Arial" w:hAnsi="Arial" w:cs="Arial"/>
          <w:color w:val="000000" w:themeColor="text1"/>
        </w:rPr>
        <w:t xml:space="preserve">messages that support positive sexuality and relationships are reinforced across the school, parents are supported to have </w:t>
      </w:r>
      <w:r w:rsidR="00F0021B" w:rsidRPr="3064266E">
        <w:rPr>
          <w:rFonts w:ascii="Arial" w:hAnsi="Arial" w:cs="Arial"/>
          <w:color w:val="000000" w:themeColor="text1"/>
        </w:rPr>
        <w:t>further</w:t>
      </w:r>
      <w:r w:rsidRPr="3064266E">
        <w:rPr>
          <w:rFonts w:ascii="Arial" w:hAnsi="Arial" w:cs="Arial"/>
          <w:color w:val="000000" w:themeColor="text1"/>
        </w:rPr>
        <w:t xml:space="preserve"> conversations with young people, and young people are connected with the broader support they need within the community. </w:t>
      </w:r>
    </w:p>
    <w:p w14:paraId="12303CC4" w14:textId="604715BC" w:rsidR="00587942" w:rsidRDefault="1CB7ED03" w:rsidP="008802A1">
      <w:pPr>
        <w:spacing w:after="120" w:line="276" w:lineRule="auto"/>
        <w:jc w:val="both"/>
        <w:rPr>
          <w:rFonts w:ascii="Arial" w:hAnsi="Arial" w:cs="Arial"/>
          <w:color w:val="000000" w:themeColor="text1"/>
        </w:rPr>
      </w:pPr>
      <w:r w:rsidRPr="749305AB">
        <w:rPr>
          <w:rFonts w:ascii="Arial" w:hAnsi="Arial" w:cs="Arial"/>
          <w:color w:val="000000" w:themeColor="text1"/>
        </w:rPr>
        <w:t xml:space="preserve">The next phase of work </w:t>
      </w:r>
      <w:r w:rsidR="000239E1">
        <w:rPr>
          <w:rFonts w:ascii="Arial" w:hAnsi="Arial" w:cs="Arial"/>
          <w:color w:val="000000" w:themeColor="text1"/>
        </w:rPr>
        <w:t xml:space="preserve">required </w:t>
      </w:r>
      <w:r w:rsidRPr="749305AB">
        <w:rPr>
          <w:rFonts w:ascii="Arial" w:hAnsi="Arial" w:cs="Arial"/>
          <w:color w:val="000000" w:themeColor="text1"/>
        </w:rPr>
        <w:t>is to review the existing curriculum and approach taken by schools</w:t>
      </w:r>
      <w:r w:rsidR="3132BBB7" w:rsidRPr="749305AB">
        <w:rPr>
          <w:rFonts w:ascii="Arial" w:hAnsi="Arial" w:cs="Arial"/>
          <w:color w:val="000000" w:themeColor="text1"/>
        </w:rPr>
        <w:t xml:space="preserve"> across Victoria</w:t>
      </w:r>
      <w:r w:rsidRPr="749305AB">
        <w:rPr>
          <w:rFonts w:ascii="Arial" w:hAnsi="Arial" w:cs="Arial"/>
          <w:color w:val="000000" w:themeColor="text1"/>
        </w:rPr>
        <w:t xml:space="preserve"> to </w:t>
      </w:r>
      <w:r w:rsidR="006457DA">
        <w:rPr>
          <w:rFonts w:ascii="Arial" w:hAnsi="Arial" w:cs="Arial"/>
          <w:color w:val="000000" w:themeColor="text1"/>
        </w:rPr>
        <w:t>identify</w:t>
      </w:r>
      <w:r w:rsidR="4E7E4F8E" w:rsidRPr="749305AB">
        <w:rPr>
          <w:rFonts w:ascii="Arial" w:hAnsi="Arial" w:cs="Arial"/>
          <w:color w:val="000000" w:themeColor="text1"/>
        </w:rPr>
        <w:t xml:space="preserve"> the components of sexuality and relationships education that are not being consistently taught</w:t>
      </w:r>
      <w:r w:rsidRPr="749305AB">
        <w:rPr>
          <w:rFonts w:ascii="Arial" w:hAnsi="Arial" w:cs="Arial"/>
          <w:color w:val="000000" w:themeColor="text1"/>
        </w:rPr>
        <w:t xml:space="preserve">. These are likely to include long-acting </w:t>
      </w:r>
      <w:r w:rsidR="002A47A1">
        <w:rPr>
          <w:rFonts w:ascii="Arial" w:hAnsi="Arial" w:cs="Arial"/>
          <w:color w:val="000000" w:themeColor="text1"/>
        </w:rPr>
        <w:t xml:space="preserve">reversable </w:t>
      </w:r>
      <w:r w:rsidRPr="749305AB">
        <w:rPr>
          <w:rFonts w:ascii="Arial" w:hAnsi="Arial" w:cs="Arial"/>
          <w:color w:val="000000" w:themeColor="text1"/>
        </w:rPr>
        <w:t>contraception,</w:t>
      </w:r>
      <w:r w:rsidR="4E7E4F8E" w:rsidRPr="749305AB">
        <w:rPr>
          <w:rFonts w:ascii="Arial" w:hAnsi="Arial" w:cs="Arial"/>
          <w:color w:val="000000" w:themeColor="text1"/>
        </w:rPr>
        <w:t xml:space="preserve"> abortion, pornography literacy, sex and pleasure, </w:t>
      </w:r>
      <w:proofErr w:type="gramStart"/>
      <w:r w:rsidR="4E7E4F8E" w:rsidRPr="749305AB">
        <w:rPr>
          <w:rFonts w:ascii="Arial" w:hAnsi="Arial" w:cs="Arial"/>
          <w:color w:val="000000" w:themeColor="text1"/>
        </w:rPr>
        <w:t>menstruation</w:t>
      </w:r>
      <w:proofErr w:type="gramEnd"/>
      <w:r w:rsidR="4E7E4F8E" w:rsidRPr="749305AB">
        <w:rPr>
          <w:rFonts w:ascii="Arial" w:hAnsi="Arial" w:cs="Arial"/>
          <w:color w:val="000000" w:themeColor="text1"/>
        </w:rPr>
        <w:t xml:space="preserve"> and period pain.</w:t>
      </w:r>
      <w:r w:rsidR="3132BBB7" w:rsidRPr="749305AB">
        <w:rPr>
          <w:rFonts w:ascii="Arial" w:hAnsi="Arial" w:cs="Arial"/>
          <w:color w:val="000000" w:themeColor="text1"/>
        </w:rPr>
        <w:t xml:space="preserve"> </w:t>
      </w:r>
    </w:p>
    <w:p w14:paraId="527BB3CD" w14:textId="54A47A2F" w:rsidR="00044BFB" w:rsidRPr="001301F7" w:rsidRDefault="3132BBB7" w:rsidP="008802A1">
      <w:pPr>
        <w:spacing w:after="120" w:line="276" w:lineRule="auto"/>
        <w:jc w:val="both"/>
        <w:rPr>
          <w:rFonts w:ascii="Arial" w:hAnsi="Arial" w:cs="Arial"/>
          <w:color w:val="000000" w:themeColor="text1"/>
        </w:rPr>
      </w:pPr>
      <w:r w:rsidRPr="749305AB">
        <w:rPr>
          <w:rFonts w:ascii="Arial" w:hAnsi="Arial" w:cs="Arial"/>
          <w:color w:val="000000" w:themeColor="text1"/>
        </w:rPr>
        <w:lastRenderedPageBreak/>
        <w:t>All sexuality and relationships education must also be underpinned by approaches that consider power and gender equality, and are inclusive of diverse sexual orientations and gender identities. </w:t>
      </w:r>
      <w:r w:rsidR="0215D0E9" w:rsidRPr="749305AB">
        <w:rPr>
          <w:rFonts w:ascii="Arial" w:hAnsi="Arial" w:cs="Arial"/>
          <w:color w:val="000000" w:themeColor="text1"/>
        </w:rPr>
        <w:t xml:space="preserve"> This acknowledges that</w:t>
      </w:r>
      <w:r w:rsidR="0215D0E9" w:rsidRPr="749305AB">
        <w:rPr>
          <w:rFonts w:ascii="Arial" w:hAnsi="Arial" w:cs="Arial"/>
        </w:rPr>
        <w:t xml:space="preserve"> that gender inequality is a contributing factor to poor sexual and reproductive health outcomes</w:t>
      </w:r>
      <w:r w:rsidR="2038E741" w:rsidRPr="749305AB">
        <w:rPr>
          <w:rFonts w:ascii="Arial" w:hAnsi="Arial" w:cs="Arial"/>
        </w:rPr>
        <w:t xml:space="preserve"> and that </w:t>
      </w:r>
      <w:r w:rsidR="0215D0E9" w:rsidRPr="749305AB">
        <w:rPr>
          <w:rFonts w:ascii="Arial" w:hAnsi="Arial" w:cs="Arial"/>
        </w:rPr>
        <w:t>ge</w:t>
      </w:r>
      <w:r w:rsidR="213FF0B1" w:rsidRPr="749305AB">
        <w:rPr>
          <w:rFonts w:ascii="Arial" w:hAnsi="Arial" w:cs="Arial"/>
        </w:rPr>
        <w:t>ndered attitudes impact current sexual and reproductive health practices. For example</w:t>
      </w:r>
      <w:r w:rsidR="66CB0173" w:rsidRPr="749305AB">
        <w:rPr>
          <w:rFonts w:ascii="Arial" w:hAnsi="Arial" w:cs="Arial"/>
        </w:rPr>
        <w:t>,</w:t>
      </w:r>
      <w:r w:rsidR="213FF0B1" w:rsidRPr="749305AB">
        <w:rPr>
          <w:rFonts w:ascii="Arial" w:hAnsi="Arial" w:cs="Arial"/>
        </w:rPr>
        <w:t xml:space="preserve"> preventing pregnancy is often seen as the </w:t>
      </w:r>
      <w:r w:rsidR="7F88A0CD" w:rsidRPr="749305AB">
        <w:rPr>
          <w:rFonts w:ascii="Arial" w:hAnsi="Arial" w:cs="Arial"/>
        </w:rPr>
        <w:t xml:space="preserve">sole </w:t>
      </w:r>
      <w:r w:rsidR="213FF0B1" w:rsidRPr="749305AB">
        <w:rPr>
          <w:rFonts w:ascii="Arial" w:hAnsi="Arial" w:cs="Arial"/>
        </w:rPr>
        <w:t>responsibility of women and ther</w:t>
      </w:r>
      <w:r w:rsidR="588F1031" w:rsidRPr="749305AB">
        <w:rPr>
          <w:rFonts w:ascii="Arial" w:hAnsi="Arial" w:cs="Arial"/>
        </w:rPr>
        <w:t>efore</w:t>
      </w:r>
      <w:r w:rsidR="213FF0B1" w:rsidRPr="749305AB">
        <w:rPr>
          <w:rFonts w:ascii="Arial" w:hAnsi="Arial" w:cs="Arial"/>
        </w:rPr>
        <w:t xml:space="preserve"> educ</w:t>
      </w:r>
      <w:r w:rsidR="509A0089" w:rsidRPr="749305AB">
        <w:rPr>
          <w:rFonts w:ascii="Arial" w:hAnsi="Arial" w:cs="Arial"/>
        </w:rPr>
        <w:t>ation messages focus on how young woman can ‘</w:t>
      </w:r>
      <w:r w:rsidR="24FF3779" w:rsidRPr="749305AB">
        <w:rPr>
          <w:rFonts w:ascii="Arial" w:hAnsi="Arial" w:cs="Arial"/>
        </w:rPr>
        <w:t>protect</w:t>
      </w:r>
      <w:r w:rsidR="509A0089" w:rsidRPr="749305AB">
        <w:rPr>
          <w:rFonts w:ascii="Arial" w:hAnsi="Arial" w:cs="Arial"/>
        </w:rPr>
        <w:t xml:space="preserve"> themselves’</w:t>
      </w:r>
      <w:r w:rsidR="000239E1">
        <w:rPr>
          <w:rFonts w:ascii="Arial" w:hAnsi="Arial" w:cs="Arial"/>
        </w:rPr>
        <w:t>,</w:t>
      </w:r>
      <w:r w:rsidR="509A0089" w:rsidRPr="749305AB">
        <w:rPr>
          <w:rFonts w:ascii="Arial" w:hAnsi="Arial" w:cs="Arial"/>
        </w:rPr>
        <w:t xml:space="preserve"> </w:t>
      </w:r>
      <w:r w:rsidR="00CB3A69" w:rsidRPr="749305AB">
        <w:rPr>
          <w:rFonts w:ascii="Arial" w:hAnsi="Arial" w:cs="Arial"/>
        </w:rPr>
        <w:t>reinforcing gendered assumptions and inequalities</w:t>
      </w:r>
      <w:r w:rsidR="000239E1">
        <w:rPr>
          <w:rFonts w:ascii="Arial" w:hAnsi="Arial" w:cs="Arial"/>
        </w:rPr>
        <w:t>, as</w:t>
      </w:r>
      <w:r w:rsidR="509A0089" w:rsidRPr="749305AB">
        <w:rPr>
          <w:rFonts w:ascii="Arial" w:hAnsi="Arial" w:cs="Arial"/>
        </w:rPr>
        <w:t xml:space="preserve"> opposed to having</w:t>
      </w:r>
      <w:r w:rsidR="43349DE1" w:rsidRPr="749305AB">
        <w:rPr>
          <w:rFonts w:ascii="Arial" w:hAnsi="Arial" w:cs="Arial"/>
        </w:rPr>
        <w:t xml:space="preserve"> </w:t>
      </w:r>
      <w:r w:rsidR="509A0089" w:rsidRPr="749305AB">
        <w:rPr>
          <w:rFonts w:ascii="Arial" w:hAnsi="Arial" w:cs="Arial"/>
        </w:rPr>
        <w:t>a broader conversation with young men and women about equality, res</w:t>
      </w:r>
      <w:r w:rsidR="00587942">
        <w:rPr>
          <w:rFonts w:ascii="Arial" w:hAnsi="Arial" w:cs="Arial"/>
        </w:rPr>
        <w:t>p</w:t>
      </w:r>
      <w:r w:rsidR="509A0089" w:rsidRPr="749305AB">
        <w:rPr>
          <w:rFonts w:ascii="Arial" w:hAnsi="Arial" w:cs="Arial"/>
        </w:rPr>
        <w:t>ect</w:t>
      </w:r>
      <w:r w:rsidR="3B08F2F6" w:rsidRPr="749305AB">
        <w:rPr>
          <w:rFonts w:ascii="Arial" w:hAnsi="Arial" w:cs="Arial"/>
        </w:rPr>
        <w:t xml:space="preserve"> and </w:t>
      </w:r>
      <w:r w:rsidR="3E57F937" w:rsidRPr="749305AB">
        <w:rPr>
          <w:rFonts w:ascii="Arial" w:hAnsi="Arial" w:cs="Arial"/>
        </w:rPr>
        <w:t>responsibility</w:t>
      </w:r>
      <w:r w:rsidR="3B08F2F6" w:rsidRPr="749305AB">
        <w:rPr>
          <w:rFonts w:ascii="Arial" w:hAnsi="Arial" w:cs="Arial"/>
        </w:rPr>
        <w:t xml:space="preserve"> in relationships. </w:t>
      </w:r>
      <w:r w:rsidR="43349DE1" w:rsidRPr="749305AB">
        <w:rPr>
          <w:rFonts w:ascii="Arial" w:hAnsi="Arial" w:cs="Arial"/>
        </w:rPr>
        <w:t xml:space="preserve"> </w:t>
      </w:r>
    </w:p>
    <w:p w14:paraId="4FB78908" w14:textId="66FFC627" w:rsidR="00044BFB" w:rsidRPr="001301F7" w:rsidRDefault="00587942" w:rsidP="008802A1">
      <w:pPr>
        <w:spacing w:after="120" w:line="276" w:lineRule="auto"/>
        <w:jc w:val="both"/>
        <w:rPr>
          <w:rFonts w:ascii="Arial" w:hAnsi="Arial" w:cs="Arial"/>
          <w:color w:val="000000"/>
        </w:rPr>
      </w:pPr>
      <w:r>
        <w:rPr>
          <w:rFonts w:ascii="Arial" w:hAnsi="Arial" w:cs="Arial"/>
          <w:color w:val="000000"/>
        </w:rPr>
        <w:t>Further i</w:t>
      </w:r>
      <w:r w:rsidR="001301F7">
        <w:rPr>
          <w:rFonts w:ascii="Arial" w:hAnsi="Arial" w:cs="Arial"/>
          <w:color w:val="000000"/>
        </w:rPr>
        <w:t xml:space="preserve">nvestment </w:t>
      </w:r>
      <w:r>
        <w:rPr>
          <w:rFonts w:ascii="Arial" w:hAnsi="Arial" w:cs="Arial"/>
          <w:color w:val="000000"/>
        </w:rPr>
        <w:t>is</w:t>
      </w:r>
      <w:r w:rsidR="001301F7">
        <w:rPr>
          <w:rFonts w:ascii="Arial" w:hAnsi="Arial" w:cs="Arial"/>
          <w:color w:val="000000"/>
        </w:rPr>
        <w:t xml:space="preserve"> needed in teacher training to ensure teachers are confident delivering sensitive content</w:t>
      </w:r>
      <w:r w:rsidR="001301F7" w:rsidRPr="00706CD3">
        <w:rPr>
          <w:rStyle w:val="FootnoteReference"/>
          <w:rFonts w:ascii="Arial" w:hAnsi="Arial" w:cs="Arial"/>
          <w:color w:val="000000"/>
        </w:rPr>
        <w:footnoteReference w:id="131"/>
      </w:r>
      <w:r w:rsidR="001301F7">
        <w:rPr>
          <w:rFonts w:ascii="Arial" w:hAnsi="Arial" w:cs="Arial"/>
          <w:color w:val="000000"/>
        </w:rPr>
        <w:t xml:space="preserve"> and to ensure a sustainable, whole of school approach is embedded.</w:t>
      </w:r>
      <w:r w:rsidR="001301F7" w:rsidRPr="00706CD3">
        <w:rPr>
          <w:rStyle w:val="FootnoteReference"/>
          <w:rFonts w:ascii="Arial" w:hAnsi="Arial" w:cs="Arial"/>
          <w:color w:val="000000"/>
        </w:rPr>
        <w:footnoteReference w:id="132"/>
      </w:r>
      <w:r w:rsidR="001301F7">
        <w:rPr>
          <w:rFonts w:ascii="Arial" w:hAnsi="Arial" w:cs="Arial"/>
          <w:color w:val="000000"/>
        </w:rPr>
        <w:t xml:space="preserve"> </w:t>
      </w:r>
      <w:r w:rsidR="00044BFB" w:rsidRPr="00706CD3">
        <w:rPr>
          <w:rFonts w:ascii="Arial" w:hAnsi="Arial" w:cs="Arial"/>
          <w:color w:val="000000"/>
        </w:rPr>
        <w:t xml:space="preserve">Family Planning Victoria currently </w:t>
      </w:r>
      <w:r w:rsidR="001301F7">
        <w:rPr>
          <w:rFonts w:ascii="Arial" w:hAnsi="Arial" w:cs="Arial"/>
          <w:color w:val="000000"/>
        </w:rPr>
        <w:t xml:space="preserve">offers </w:t>
      </w:r>
      <w:r w:rsidR="00044BFB" w:rsidRPr="00706CD3">
        <w:rPr>
          <w:rFonts w:ascii="Arial" w:hAnsi="Arial" w:cs="Arial"/>
          <w:color w:val="000000"/>
        </w:rPr>
        <w:t>evidence-based teacher training for the delivery of comprehensive sexuality and relationships education and could be fu</w:t>
      </w:r>
      <w:r w:rsidR="001301F7">
        <w:rPr>
          <w:rFonts w:ascii="Arial" w:hAnsi="Arial" w:cs="Arial"/>
          <w:color w:val="000000"/>
        </w:rPr>
        <w:t>nded to make this available more broadly.</w:t>
      </w:r>
    </w:p>
    <w:p w14:paraId="5ABB1155" w14:textId="5C3FCE78" w:rsidR="00455A42" w:rsidRPr="00706CD3" w:rsidRDefault="00A44966" w:rsidP="008802A1">
      <w:pPr>
        <w:pStyle w:val="Heading2"/>
        <w:spacing w:before="0" w:after="120" w:line="276" w:lineRule="auto"/>
        <w:jc w:val="both"/>
        <w:rPr>
          <w:b/>
          <w:bCs/>
        </w:rPr>
      </w:pPr>
      <w:bookmarkStart w:id="39" w:name="_Toc59045886"/>
      <w:r>
        <w:rPr>
          <w:b/>
          <w:bCs/>
        </w:rPr>
        <w:t>P</w:t>
      </w:r>
      <w:r w:rsidR="000D321B">
        <w:rPr>
          <w:b/>
          <w:bCs/>
        </w:rPr>
        <w:t>eriod and p</w:t>
      </w:r>
      <w:r w:rsidR="00455A42" w:rsidRPr="00706CD3">
        <w:rPr>
          <w:b/>
          <w:bCs/>
        </w:rPr>
        <w:t>elvic pain</w:t>
      </w:r>
      <w:bookmarkEnd w:id="39"/>
    </w:p>
    <w:p w14:paraId="16208E6F" w14:textId="7D61B416" w:rsidR="00A44966" w:rsidRDefault="00E56601" w:rsidP="008802A1">
      <w:pPr>
        <w:spacing w:after="120" w:line="276" w:lineRule="auto"/>
        <w:jc w:val="both"/>
        <w:rPr>
          <w:rFonts w:ascii="Arial" w:eastAsiaTheme="minorEastAsia" w:hAnsi="Arial" w:cs="Arial"/>
        </w:rPr>
      </w:pPr>
      <w:r w:rsidRPr="00706CD3">
        <w:rPr>
          <w:rFonts w:ascii="Arial" w:eastAsiaTheme="minorEastAsia" w:hAnsi="Arial" w:cs="Arial"/>
        </w:rPr>
        <w:t>Persistent pelvic pain is a serious and widespread issue among young women</w:t>
      </w:r>
      <w:r w:rsidR="00601AFC">
        <w:rPr>
          <w:rFonts w:ascii="Arial" w:eastAsiaTheme="minorEastAsia" w:hAnsi="Arial" w:cs="Arial"/>
        </w:rPr>
        <w:t>,</w:t>
      </w:r>
      <w:r>
        <w:rPr>
          <w:rFonts w:ascii="Arial" w:eastAsiaTheme="minorEastAsia" w:hAnsi="Arial" w:cs="Arial"/>
        </w:rPr>
        <w:t xml:space="preserve"> and i</w:t>
      </w:r>
      <w:r w:rsidR="001F756E" w:rsidRPr="00706CD3">
        <w:rPr>
          <w:rFonts w:ascii="Arial" w:eastAsiaTheme="minorEastAsia" w:hAnsi="Arial" w:cs="Arial"/>
        </w:rPr>
        <w:t xml:space="preserve">t is essential that </w:t>
      </w:r>
      <w:r>
        <w:rPr>
          <w:rFonts w:ascii="Arial" w:eastAsiaTheme="minorEastAsia" w:hAnsi="Arial" w:cs="Arial"/>
        </w:rPr>
        <w:t>they</w:t>
      </w:r>
      <w:r w:rsidR="001F756E" w:rsidRPr="00706CD3">
        <w:rPr>
          <w:rFonts w:ascii="Arial" w:eastAsiaTheme="minorEastAsia" w:hAnsi="Arial" w:cs="Arial"/>
        </w:rPr>
        <w:t xml:space="preserve"> have access to adequate information on menstruation and pelvic pain and can access support without stigma.</w:t>
      </w:r>
    </w:p>
    <w:p w14:paraId="5594CC55" w14:textId="2B1DD392" w:rsidR="00455A42" w:rsidRPr="00706CD3" w:rsidRDefault="00455A42" w:rsidP="008802A1">
      <w:pPr>
        <w:spacing w:after="120" w:line="276" w:lineRule="auto"/>
        <w:jc w:val="both"/>
        <w:rPr>
          <w:rFonts w:ascii="Arial" w:eastAsiaTheme="minorEastAsia" w:hAnsi="Arial" w:cs="Arial"/>
        </w:rPr>
      </w:pPr>
      <w:r w:rsidRPr="717D599A">
        <w:rPr>
          <w:rFonts w:ascii="Arial" w:eastAsiaTheme="minorEastAsia" w:hAnsi="Arial" w:cs="Arial"/>
        </w:rPr>
        <w:t>Almost three quarters of young women report regular period pain.</w:t>
      </w:r>
      <w:r w:rsidRPr="717D599A">
        <w:rPr>
          <w:rFonts w:ascii="Arial" w:eastAsiaTheme="minorEastAsia" w:hAnsi="Arial" w:cs="Arial"/>
          <w:vertAlign w:val="superscript"/>
        </w:rPr>
        <w:footnoteReference w:id="133"/>
      </w:r>
      <w:r w:rsidRPr="717D599A">
        <w:rPr>
          <w:rFonts w:ascii="Arial" w:eastAsiaTheme="minorEastAsia" w:hAnsi="Arial" w:cs="Arial"/>
        </w:rPr>
        <w:t xml:space="preserve"> Adolescents with severe dysmenorrhea have impaired quality of life and are at increased risk </w:t>
      </w:r>
      <w:r w:rsidR="00A44966" w:rsidRPr="717D599A">
        <w:rPr>
          <w:rFonts w:ascii="Arial" w:eastAsiaTheme="minorEastAsia" w:hAnsi="Arial" w:cs="Arial"/>
        </w:rPr>
        <w:t>of</w:t>
      </w:r>
      <w:r w:rsidRPr="717D599A">
        <w:rPr>
          <w:rFonts w:ascii="Arial" w:eastAsiaTheme="minorEastAsia" w:hAnsi="Arial" w:cs="Arial"/>
        </w:rPr>
        <w:t xml:space="preserve"> depression and anxiety.</w:t>
      </w:r>
      <w:r w:rsidRPr="717D599A">
        <w:rPr>
          <w:rFonts w:ascii="Arial" w:eastAsiaTheme="minorEastAsia" w:hAnsi="Arial" w:cs="Arial"/>
          <w:vertAlign w:val="superscript"/>
        </w:rPr>
        <w:footnoteReference w:id="134"/>
      </w:r>
      <w:r w:rsidRPr="717D599A">
        <w:rPr>
          <w:rFonts w:ascii="Arial" w:eastAsiaTheme="minorEastAsia" w:hAnsi="Arial" w:cs="Arial"/>
        </w:rPr>
        <w:t xml:space="preserve"> </w:t>
      </w:r>
      <w:r w:rsidR="00516038">
        <w:rPr>
          <w:rFonts w:ascii="Arial" w:eastAsiaTheme="minorEastAsia" w:hAnsi="Arial" w:cs="Arial"/>
        </w:rPr>
        <w:t xml:space="preserve">Recent </w:t>
      </w:r>
      <w:r w:rsidRPr="717D599A">
        <w:rPr>
          <w:rFonts w:ascii="Arial" w:eastAsiaTheme="minorEastAsia" w:hAnsi="Arial" w:cs="Arial"/>
        </w:rPr>
        <w:t>Australian research found that 3 out of 10 young women reported having to skip class at school or university due to menstrual symptoms in the past 3 months.</w:t>
      </w:r>
      <w:r w:rsidRPr="717D599A">
        <w:rPr>
          <w:rFonts w:ascii="Arial" w:eastAsiaTheme="minorEastAsia" w:hAnsi="Arial" w:cs="Arial"/>
          <w:vertAlign w:val="superscript"/>
        </w:rPr>
        <w:footnoteReference w:id="135"/>
      </w:r>
      <w:r w:rsidRPr="717D599A">
        <w:rPr>
          <w:rFonts w:ascii="Arial" w:eastAsiaTheme="minorEastAsia" w:hAnsi="Arial" w:cs="Arial"/>
        </w:rPr>
        <w:t xml:space="preserve"> This not only has implications for their education and workforce participation, but also </w:t>
      </w:r>
      <w:r w:rsidR="00A44966" w:rsidRPr="717D599A">
        <w:rPr>
          <w:rFonts w:ascii="Arial" w:eastAsiaTheme="minorEastAsia" w:hAnsi="Arial" w:cs="Arial"/>
        </w:rPr>
        <w:t>for</w:t>
      </w:r>
      <w:r w:rsidRPr="717D599A">
        <w:rPr>
          <w:rFonts w:ascii="Arial" w:eastAsiaTheme="minorEastAsia" w:hAnsi="Arial" w:cs="Arial"/>
        </w:rPr>
        <w:t xml:space="preserve"> social activities and wellbeing.</w:t>
      </w:r>
    </w:p>
    <w:p w14:paraId="040AA1C6" w14:textId="7E2B60A6" w:rsidR="00455A42" w:rsidRDefault="00A44966" w:rsidP="008802A1">
      <w:pPr>
        <w:spacing w:after="120" w:line="276" w:lineRule="auto"/>
        <w:jc w:val="both"/>
        <w:rPr>
          <w:rFonts w:ascii="Arial" w:hAnsi="Arial" w:cs="Arial"/>
        </w:rPr>
      </w:pPr>
      <w:r w:rsidRPr="00A44966">
        <w:rPr>
          <w:rFonts w:ascii="Arial" w:hAnsi="Arial" w:cs="Arial"/>
        </w:rPr>
        <w:t xml:space="preserve">Many young women also suffer from reproductive health conditions that impair their quality of life. </w:t>
      </w:r>
      <w:r w:rsidR="00C91C2E">
        <w:rPr>
          <w:rFonts w:ascii="Arial" w:hAnsi="Arial" w:cs="Arial"/>
        </w:rPr>
        <w:t>It is estimated that endometriosis effects</w:t>
      </w:r>
      <w:r w:rsidR="0C08C6A5" w:rsidRPr="0D9B24C1">
        <w:rPr>
          <w:rFonts w:ascii="Arial" w:hAnsi="Arial" w:cs="Arial"/>
        </w:rPr>
        <w:t xml:space="preserve"> approximately one in nine women in Australia</w:t>
      </w:r>
      <w:r w:rsidR="00C91C2E">
        <w:rPr>
          <w:rFonts w:ascii="Arial" w:hAnsi="Arial" w:cs="Arial"/>
        </w:rPr>
        <w:t>,</w:t>
      </w:r>
      <w:r w:rsidR="00C91C2E">
        <w:rPr>
          <w:rStyle w:val="FootnoteReference"/>
          <w:rFonts w:ascii="Arial" w:hAnsi="Arial" w:cs="Arial"/>
        </w:rPr>
        <w:footnoteReference w:id="136"/>
      </w:r>
      <w:r w:rsidR="00C91C2E">
        <w:rPr>
          <w:rFonts w:ascii="Arial" w:hAnsi="Arial" w:cs="Arial"/>
        </w:rPr>
        <w:t xml:space="preserve"> however </w:t>
      </w:r>
      <w:r w:rsidR="00516038">
        <w:rPr>
          <w:rFonts w:ascii="Arial" w:hAnsi="Arial" w:cs="Arial"/>
        </w:rPr>
        <w:t>this is likely to be an underestimate</w:t>
      </w:r>
      <w:r w:rsidR="00C91C2E">
        <w:rPr>
          <w:rFonts w:ascii="Arial" w:hAnsi="Arial" w:cs="Arial"/>
        </w:rPr>
        <w:t>. It</w:t>
      </w:r>
      <w:r w:rsidR="00455A42" w:rsidRPr="00706CD3">
        <w:rPr>
          <w:rFonts w:ascii="Arial" w:hAnsi="Arial" w:cs="Arial"/>
        </w:rPr>
        <w:t xml:space="preserve"> takes an average of 7 years to be diagnosed with endometriosis and many women report suffering undiagnosed in their teenage years, unaware that the condition even existed.</w:t>
      </w:r>
      <w:r w:rsidR="00455A42" w:rsidRPr="00706CD3">
        <w:rPr>
          <w:rFonts w:ascii="Arial" w:hAnsi="Arial" w:cs="Arial"/>
          <w:vertAlign w:val="superscript"/>
        </w:rPr>
        <w:footnoteReference w:id="137"/>
      </w:r>
      <w:r w:rsidR="00455A42" w:rsidRPr="00706CD3">
        <w:rPr>
          <w:rFonts w:ascii="Arial" w:hAnsi="Arial" w:cs="Arial"/>
        </w:rPr>
        <w:t xml:space="preserve"> Women often feel frustrated and angry at </w:t>
      </w:r>
      <w:r w:rsidR="00455A42" w:rsidRPr="00706CD3">
        <w:rPr>
          <w:rFonts w:ascii="Arial" w:hAnsi="Arial" w:cs="Arial"/>
        </w:rPr>
        <w:lastRenderedPageBreak/>
        <w:t>unsatisfactory experiences with healthcare providers, and raise concerns about the effectiveness and side effects of treatments.</w:t>
      </w:r>
      <w:r w:rsidR="00455A42" w:rsidRPr="00706CD3">
        <w:rPr>
          <w:rFonts w:ascii="Arial" w:hAnsi="Arial" w:cs="Arial"/>
          <w:vertAlign w:val="superscript"/>
        </w:rPr>
        <w:footnoteReference w:id="138"/>
      </w:r>
      <w:r w:rsidR="00455A42" w:rsidRPr="00706CD3">
        <w:rPr>
          <w:rFonts w:ascii="Arial" w:hAnsi="Arial" w:cs="Arial"/>
          <w:vertAlign w:val="superscript"/>
        </w:rPr>
        <w:t xml:space="preserve"> </w:t>
      </w:r>
      <w:r w:rsidR="00455A42" w:rsidRPr="00706CD3">
        <w:rPr>
          <w:rFonts w:ascii="Arial" w:hAnsi="Arial" w:cs="Arial"/>
        </w:rPr>
        <w:t xml:space="preserve"> </w:t>
      </w:r>
    </w:p>
    <w:p w14:paraId="433C211F" w14:textId="77911749" w:rsidR="64F5B084" w:rsidRDefault="4D2BC89A" w:rsidP="008802A1">
      <w:pPr>
        <w:spacing w:after="120" w:line="276" w:lineRule="auto"/>
        <w:jc w:val="both"/>
        <w:rPr>
          <w:rFonts w:ascii="Arial" w:eastAsia="Arial" w:hAnsi="Arial" w:cs="Arial"/>
        </w:rPr>
      </w:pPr>
      <w:r w:rsidRPr="717D599A">
        <w:rPr>
          <w:rFonts w:ascii="Arial" w:eastAsia="Arial" w:hAnsi="Arial" w:cs="Arial"/>
        </w:rPr>
        <w:t xml:space="preserve">Polycystic </w:t>
      </w:r>
      <w:r w:rsidR="323BFA9E" w:rsidRPr="717D599A">
        <w:rPr>
          <w:rFonts w:ascii="Arial" w:eastAsia="Arial" w:hAnsi="Arial" w:cs="Arial"/>
        </w:rPr>
        <w:t>Ov</w:t>
      </w:r>
      <w:r w:rsidRPr="717D599A">
        <w:rPr>
          <w:rFonts w:ascii="Arial" w:eastAsia="Arial" w:hAnsi="Arial" w:cs="Arial"/>
        </w:rPr>
        <w:t xml:space="preserve">ary </w:t>
      </w:r>
      <w:r w:rsidR="12411121" w:rsidRPr="717D599A">
        <w:rPr>
          <w:rFonts w:ascii="Arial" w:eastAsia="Arial" w:hAnsi="Arial" w:cs="Arial"/>
        </w:rPr>
        <w:t>S</w:t>
      </w:r>
      <w:r w:rsidRPr="717D599A">
        <w:rPr>
          <w:rFonts w:ascii="Arial" w:eastAsia="Arial" w:hAnsi="Arial" w:cs="Arial"/>
        </w:rPr>
        <w:t xml:space="preserve">yndrome (PCOS) affects </w:t>
      </w:r>
      <w:r w:rsidR="58738F5A" w:rsidRPr="717D599A">
        <w:rPr>
          <w:rFonts w:ascii="Arial" w:eastAsia="Arial" w:hAnsi="Arial" w:cs="Arial"/>
        </w:rPr>
        <w:t>approximately</w:t>
      </w:r>
      <w:r w:rsidRPr="717D599A">
        <w:rPr>
          <w:rFonts w:ascii="Arial" w:eastAsia="Arial" w:hAnsi="Arial" w:cs="Arial"/>
        </w:rPr>
        <w:t xml:space="preserve"> one in ten women and is the most common hormonal disorder in women of reproductive age. </w:t>
      </w:r>
      <w:r w:rsidR="72A09642" w:rsidRPr="717D599A">
        <w:rPr>
          <w:rFonts w:ascii="Arial" w:eastAsia="Arial" w:hAnsi="Arial" w:cs="Arial"/>
        </w:rPr>
        <w:t>D</w:t>
      </w:r>
      <w:r w:rsidR="21D3D687" w:rsidRPr="717D599A">
        <w:rPr>
          <w:rFonts w:ascii="Arial" w:eastAsia="Arial" w:hAnsi="Arial" w:cs="Arial"/>
        </w:rPr>
        <w:t>epression</w:t>
      </w:r>
      <w:r w:rsidR="27798FE7" w:rsidRPr="717D599A">
        <w:rPr>
          <w:rFonts w:ascii="Arial" w:eastAsia="Arial" w:hAnsi="Arial" w:cs="Arial"/>
        </w:rPr>
        <w:t xml:space="preserve">, </w:t>
      </w:r>
      <w:proofErr w:type="gramStart"/>
      <w:r w:rsidR="21D3D687" w:rsidRPr="717D599A">
        <w:rPr>
          <w:rFonts w:ascii="Arial" w:eastAsia="Arial" w:hAnsi="Arial" w:cs="Arial"/>
        </w:rPr>
        <w:t>anxiety</w:t>
      </w:r>
      <w:proofErr w:type="gramEnd"/>
      <w:r w:rsidR="21D3D687" w:rsidRPr="717D599A">
        <w:rPr>
          <w:rFonts w:ascii="Arial" w:eastAsia="Arial" w:hAnsi="Arial" w:cs="Arial"/>
        </w:rPr>
        <w:t xml:space="preserve"> </w:t>
      </w:r>
      <w:r w:rsidR="1974632C" w:rsidRPr="717D599A">
        <w:rPr>
          <w:rFonts w:ascii="Arial" w:eastAsia="Arial" w:hAnsi="Arial" w:cs="Arial"/>
        </w:rPr>
        <w:t xml:space="preserve">and </w:t>
      </w:r>
      <w:r w:rsidR="2F30EC72" w:rsidRPr="717D599A">
        <w:rPr>
          <w:rFonts w:ascii="Arial" w:eastAsia="Arial" w:hAnsi="Arial" w:cs="Arial"/>
        </w:rPr>
        <w:t>period pain</w:t>
      </w:r>
      <w:r w:rsidR="0498F503" w:rsidRPr="717D599A">
        <w:rPr>
          <w:rFonts w:ascii="Arial" w:eastAsia="Arial" w:hAnsi="Arial" w:cs="Arial"/>
        </w:rPr>
        <w:t xml:space="preserve"> are symp</w:t>
      </w:r>
      <w:r w:rsidR="1D9710FB" w:rsidRPr="717D599A">
        <w:rPr>
          <w:rFonts w:ascii="Arial" w:eastAsia="Arial" w:hAnsi="Arial" w:cs="Arial"/>
        </w:rPr>
        <w:t>t</w:t>
      </w:r>
      <w:r w:rsidR="0498F503" w:rsidRPr="717D599A">
        <w:rPr>
          <w:rFonts w:ascii="Arial" w:eastAsia="Arial" w:hAnsi="Arial" w:cs="Arial"/>
        </w:rPr>
        <w:t>oms of PCOS</w:t>
      </w:r>
      <w:r w:rsidR="2F30EC72" w:rsidRPr="717D599A">
        <w:rPr>
          <w:rFonts w:ascii="Arial" w:eastAsia="Arial" w:hAnsi="Arial" w:cs="Arial"/>
        </w:rPr>
        <w:t>.</w:t>
      </w:r>
      <w:r w:rsidR="00C91C2E">
        <w:rPr>
          <w:rStyle w:val="FootnoteReference"/>
          <w:rFonts w:ascii="Arial" w:eastAsia="Arial" w:hAnsi="Arial" w:cs="Arial"/>
        </w:rPr>
        <w:footnoteReference w:id="139"/>
      </w:r>
      <w:r w:rsidR="2F30EC72" w:rsidRPr="717D599A">
        <w:rPr>
          <w:rFonts w:ascii="Arial" w:eastAsia="Arial" w:hAnsi="Arial" w:cs="Arial"/>
        </w:rPr>
        <w:t xml:space="preserve"> </w:t>
      </w:r>
      <w:r w:rsidR="40F74FA1" w:rsidRPr="717D599A">
        <w:rPr>
          <w:rFonts w:ascii="Arial" w:eastAsia="Arial" w:hAnsi="Arial" w:cs="Arial"/>
        </w:rPr>
        <w:t>Despite being a leading cause of women’s infertility, it is often undiagnosed.</w:t>
      </w:r>
      <w:r w:rsidR="00C91C2E">
        <w:rPr>
          <w:rStyle w:val="FootnoteReference"/>
          <w:rFonts w:ascii="Arial" w:eastAsia="Arial" w:hAnsi="Arial" w:cs="Arial"/>
        </w:rPr>
        <w:footnoteReference w:id="140"/>
      </w:r>
      <w:r w:rsidR="40F74FA1" w:rsidRPr="717D599A">
        <w:rPr>
          <w:rFonts w:ascii="Arial" w:eastAsia="Arial" w:hAnsi="Arial" w:cs="Arial"/>
        </w:rPr>
        <w:t xml:space="preserve"> </w:t>
      </w:r>
      <w:r w:rsidR="2F30EC72" w:rsidRPr="717D599A">
        <w:rPr>
          <w:rFonts w:ascii="Arial" w:eastAsia="Arial" w:hAnsi="Arial" w:cs="Arial"/>
        </w:rPr>
        <w:t xml:space="preserve">It can also increase the </w:t>
      </w:r>
      <w:r w:rsidR="45D78FA5" w:rsidRPr="717D599A">
        <w:rPr>
          <w:rFonts w:ascii="Arial" w:eastAsia="Arial" w:hAnsi="Arial" w:cs="Arial"/>
        </w:rPr>
        <w:t>risk</w:t>
      </w:r>
      <w:r w:rsidR="2F30EC72" w:rsidRPr="717D599A">
        <w:rPr>
          <w:rFonts w:ascii="Arial" w:eastAsia="Arial" w:hAnsi="Arial" w:cs="Arial"/>
        </w:rPr>
        <w:t xml:space="preserve"> of other long</w:t>
      </w:r>
      <w:r w:rsidR="5F48EE68" w:rsidRPr="717D599A">
        <w:rPr>
          <w:rFonts w:ascii="Arial" w:eastAsia="Arial" w:hAnsi="Arial" w:cs="Arial"/>
        </w:rPr>
        <w:t xml:space="preserve">-term health issues such as </w:t>
      </w:r>
      <w:r w:rsidR="6857814F" w:rsidRPr="717D599A">
        <w:rPr>
          <w:rFonts w:ascii="Arial" w:eastAsia="Arial" w:hAnsi="Arial" w:cs="Arial"/>
        </w:rPr>
        <w:t>diabetes</w:t>
      </w:r>
      <w:r w:rsidR="5F48EE68" w:rsidRPr="717D599A">
        <w:rPr>
          <w:rFonts w:ascii="Arial" w:eastAsia="Arial" w:hAnsi="Arial" w:cs="Arial"/>
        </w:rPr>
        <w:t xml:space="preserve"> and </w:t>
      </w:r>
      <w:r w:rsidR="4EB8797A" w:rsidRPr="717D599A">
        <w:rPr>
          <w:rFonts w:ascii="Arial" w:eastAsia="Arial" w:hAnsi="Arial" w:cs="Arial"/>
        </w:rPr>
        <w:t>cardiovascular</w:t>
      </w:r>
      <w:r w:rsidR="1558BE19" w:rsidRPr="717D599A">
        <w:rPr>
          <w:rFonts w:ascii="Arial" w:eastAsia="Arial" w:hAnsi="Arial" w:cs="Arial"/>
        </w:rPr>
        <w:t xml:space="preserve"> disease.</w:t>
      </w:r>
      <w:r w:rsidR="00C91C2E">
        <w:rPr>
          <w:rStyle w:val="FootnoteReference"/>
          <w:rFonts w:ascii="Arial" w:eastAsia="Arial" w:hAnsi="Arial" w:cs="Arial"/>
        </w:rPr>
        <w:footnoteReference w:id="141"/>
      </w:r>
    </w:p>
    <w:p w14:paraId="1CD23099" w14:textId="123786D3" w:rsidR="0089174C" w:rsidRPr="00706CD3" w:rsidRDefault="00E8221B" w:rsidP="008802A1">
      <w:pPr>
        <w:spacing w:after="120" w:line="276" w:lineRule="auto"/>
        <w:jc w:val="both"/>
        <w:rPr>
          <w:rFonts w:ascii="Arial" w:eastAsiaTheme="minorEastAsia" w:hAnsi="Arial" w:cs="Arial"/>
        </w:rPr>
      </w:pPr>
      <w:r w:rsidRPr="717D599A">
        <w:rPr>
          <w:rFonts w:ascii="Arial" w:eastAsiaTheme="minorEastAsia" w:hAnsi="Arial" w:cs="Arial"/>
        </w:rPr>
        <w:t xml:space="preserve">Period pain is normalised by health professionals, the community and young women themselves. </w:t>
      </w:r>
      <w:r w:rsidR="00A44966" w:rsidRPr="717D599A">
        <w:rPr>
          <w:rFonts w:ascii="Arial" w:eastAsiaTheme="minorEastAsia" w:hAnsi="Arial" w:cs="Arial"/>
        </w:rPr>
        <w:t>C</w:t>
      </w:r>
      <w:r w:rsidRPr="717D599A">
        <w:rPr>
          <w:rFonts w:ascii="Arial" w:eastAsiaTheme="minorEastAsia" w:hAnsi="Arial" w:cs="Arial"/>
        </w:rPr>
        <w:t>oupled with stigma around periods and lack of knowledge about conditions associated with severe pelvic pain such as endometriosis</w:t>
      </w:r>
      <w:r w:rsidR="001F756E" w:rsidRPr="717D599A">
        <w:rPr>
          <w:rFonts w:ascii="Arial" w:eastAsiaTheme="minorEastAsia" w:hAnsi="Arial" w:cs="Arial"/>
        </w:rPr>
        <w:t>,</w:t>
      </w:r>
      <w:r w:rsidRPr="717D599A">
        <w:rPr>
          <w:rFonts w:ascii="Arial" w:eastAsiaTheme="minorEastAsia" w:hAnsi="Arial" w:cs="Arial"/>
        </w:rPr>
        <w:t xml:space="preserve"> </w:t>
      </w:r>
      <w:r w:rsidR="00A44966" w:rsidRPr="717D599A">
        <w:rPr>
          <w:rFonts w:ascii="Arial" w:eastAsiaTheme="minorEastAsia" w:hAnsi="Arial" w:cs="Arial"/>
        </w:rPr>
        <w:t xml:space="preserve">this </w:t>
      </w:r>
      <w:r w:rsidRPr="717D599A">
        <w:rPr>
          <w:rFonts w:ascii="Arial" w:eastAsiaTheme="minorEastAsia" w:hAnsi="Arial" w:cs="Arial"/>
        </w:rPr>
        <w:t>lead</w:t>
      </w:r>
      <w:r w:rsidR="00BC50CC" w:rsidRPr="717D599A">
        <w:rPr>
          <w:rFonts w:ascii="Arial" w:eastAsiaTheme="minorEastAsia" w:hAnsi="Arial" w:cs="Arial"/>
        </w:rPr>
        <w:t>s</w:t>
      </w:r>
      <w:r w:rsidRPr="717D599A">
        <w:rPr>
          <w:rFonts w:ascii="Arial" w:eastAsiaTheme="minorEastAsia" w:hAnsi="Arial" w:cs="Arial"/>
        </w:rPr>
        <w:t xml:space="preserve"> to delay</w:t>
      </w:r>
      <w:r w:rsidR="00516038">
        <w:rPr>
          <w:rFonts w:ascii="Arial" w:eastAsiaTheme="minorEastAsia" w:hAnsi="Arial" w:cs="Arial"/>
        </w:rPr>
        <w:t>s</w:t>
      </w:r>
      <w:r w:rsidRPr="717D599A">
        <w:rPr>
          <w:rFonts w:ascii="Arial" w:eastAsiaTheme="minorEastAsia" w:hAnsi="Arial" w:cs="Arial"/>
        </w:rPr>
        <w:t xml:space="preserve"> in diagnosis and treatment.</w:t>
      </w:r>
      <w:r w:rsidRPr="717D599A">
        <w:rPr>
          <w:rFonts w:ascii="Arial" w:eastAsiaTheme="minorEastAsia" w:hAnsi="Arial" w:cs="Arial"/>
          <w:vertAlign w:val="superscript"/>
        </w:rPr>
        <w:footnoteReference w:id="142"/>
      </w:r>
      <w:r w:rsidRPr="717D599A">
        <w:rPr>
          <w:rFonts w:ascii="Arial" w:eastAsiaTheme="minorEastAsia" w:hAnsi="Arial" w:cs="Arial"/>
        </w:rPr>
        <w:t xml:space="preserve"> </w:t>
      </w:r>
      <w:r w:rsidR="00F07759" w:rsidRPr="717D599A">
        <w:rPr>
          <w:rFonts w:ascii="Arial" w:eastAsiaTheme="minorEastAsia" w:hAnsi="Arial" w:cs="Arial"/>
        </w:rPr>
        <w:t>A recent study in Australia found young women are actively seeking more information on menstruation</w:t>
      </w:r>
      <w:r w:rsidR="00A44966" w:rsidRPr="717D599A">
        <w:rPr>
          <w:rFonts w:ascii="Arial" w:eastAsiaTheme="minorEastAsia" w:hAnsi="Arial" w:cs="Arial"/>
        </w:rPr>
        <w:t>, but also</w:t>
      </w:r>
      <w:r w:rsidR="001F756E" w:rsidRPr="717D599A">
        <w:rPr>
          <w:rFonts w:ascii="Arial" w:eastAsiaTheme="minorEastAsia" w:hAnsi="Arial" w:cs="Arial"/>
        </w:rPr>
        <w:t xml:space="preserve"> </w:t>
      </w:r>
      <w:r w:rsidR="0089174C" w:rsidRPr="717D599A">
        <w:rPr>
          <w:rFonts w:ascii="Arial" w:eastAsiaTheme="minorEastAsia" w:hAnsi="Arial" w:cs="Arial"/>
        </w:rPr>
        <w:t xml:space="preserve">reported experiences </w:t>
      </w:r>
      <w:r w:rsidR="00F07759" w:rsidRPr="717D599A">
        <w:rPr>
          <w:rFonts w:ascii="Arial" w:eastAsiaTheme="minorEastAsia" w:hAnsi="Arial" w:cs="Arial"/>
        </w:rPr>
        <w:t xml:space="preserve">of </w:t>
      </w:r>
      <w:r w:rsidR="0089174C" w:rsidRPr="717D599A">
        <w:rPr>
          <w:rFonts w:ascii="Arial" w:eastAsiaTheme="minorEastAsia" w:hAnsi="Arial" w:cs="Arial"/>
        </w:rPr>
        <w:t xml:space="preserve">shaming and stigmatisation </w:t>
      </w:r>
      <w:r w:rsidR="00A44966" w:rsidRPr="717D599A">
        <w:rPr>
          <w:rFonts w:ascii="Arial" w:eastAsiaTheme="minorEastAsia" w:hAnsi="Arial" w:cs="Arial"/>
        </w:rPr>
        <w:t>of menstruation at</w:t>
      </w:r>
      <w:r w:rsidR="0089174C" w:rsidRPr="717D599A">
        <w:rPr>
          <w:rFonts w:ascii="Arial" w:eastAsiaTheme="minorEastAsia" w:hAnsi="Arial" w:cs="Arial"/>
        </w:rPr>
        <w:t xml:space="preserve"> school by both teachers and students</w:t>
      </w:r>
      <w:r w:rsidR="006A70DD" w:rsidRPr="717D599A">
        <w:rPr>
          <w:rFonts w:ascii="Arial" w:eastAsiaTheme="minorEastAsia" w:hAnsi="Arial" w:cs="Arial"/>
        </w:rPr>
        <w:t>.</w:t>
      </w:r>
      <w:r w:rsidR="006A70DD" w:rsidRPr="717D599A">
        <w:rPr>
          <w:rStyle w:val="FootnoteReference"/>
          <w:rFonts w:ascii="Arial" w:eastAsiaTheme="minorEastAsia" w:hAnsi="Arial" w:cs="Arial"/>
        </w:rPr>
        <w:footnoteReference w:id="143"/>
      </w:r>
    </w:p>
    <w:p w14:paraId="30EA18F6" w14:textId="73538294" w:rsidR="001301F7" w:rsidRPr="00706CD3" w:rsidRDefault="007218BF" w:rsidP="008802A1">
      <w:pPr>
        <w:spacing w:after="120" w:line="276" w:lineRule="auto"/>
        <w:jc w:val="both"/>
        <w:rPr>
          <w:rFonts w:ascii="Arial" w:hAnsi="Arial" w:cs="Arial"/>
        </w:rPr>
      </w:pPr>
      <w:bookmarkStart w:id="40" w:name="_Hlk57897497"/>
      <w:r w:rsidRPr="717D599A">
        <w:rPr>
          <w:rFonts w:ascii="Arial" w:eastAsiaTheme="minorEastAsia" w:hAnsi="Arial" w:cs="Arial"/>
        </w:rPr>
        <w:t>E</w:t>
      </w:r>
      <w:r w:rsidR="00A44966" w:rsidRPr="717D599A">
        <w:rPr>
          <w:rFonts w:ascii="Arial" w:eastAsiaTheme="minorEastAsia" w:hAnsi="Arial" w:cs="Arial"/>
        </w:rPr>
        <w:t>ducation on menstruation and managing period pain</w:t>
      </w:r>
      <w:r w:rsidRPr="717D599A">
        <w:rPr>
          <w:rFonts w:ascii="Arial" w:eastAsiaTheme="minorEastAsia" w:hAnsi="Arial" w:cs="Arial"/>
        </w:rPr>
        <w:t xml:space="preserve"> should be part of a comprehensive whole school approach to sexuality and relationships education</w:t>
      </w:r>
      <w:r w:rsidR="00A44966" w:rsidRPr="717D599A">
        <w:rPr>
          <w:rFonts w:ascii="Arial" w:eastAsiaTheme="minorEastAsia" w:hAnsi="Arial" w:cs="Arial"/>
        </w:rPr>
        <w:t>.</w:t>
      </w:r>
      <w:r w:rsidR="00A44966" w:rsidRPr="717D599A">
        <w:rPr>
          <w:rFonts w:ascii="Arial" w:eastAsiaTheme="minorEastAsia" w:hAnsi="Arial" w:cs="Arial"/>
          <w:vertAlign w:val="superscript"/>
        </w:rPr>
        <w:footnoteReference w:id="144"/>
      </w:r>
      <w:r w:rsidR="00A44966" w:rsidRPr="717D599A">
        <w:rPr>
          <w:rFonts w:ascii="Arial" w:eastAsiaTheme="minorEastAsia" w:hAnsi="Arial" w:cs="Arial"/>
        </w:rPr>
        <w:t xml:space="preserve"> </w:t>
      </w:r>
      <w:bookmarkEnd w:id="40"/>
      <w:r w:rsidRPr="717D599A">
        <w:rPr>
          <w:rFonts w:ascii="Arial" w:eastAsiaTheme="minorEastAsia" w:hAnsi="Arial" w:cs="Arial"/>
        </w:rPr>
        <w:t>M</w:t>
      </w:r>
      <w:r w:rsidR="00455A42" w:rsidRPr="717D599A">
        <w:rPr>
          <w:rFonts w:ascii="Arial" w:eastAsiaTheme="minorEastAsia" w:hAnsi="Arial" w:cs="Arial"/>
        </w:rPr>
        <w:t xml:space="preserve">enstrual education </w:t>
      </w:r>
      <w:r w:rsidRPr="717D599A">
        <w:rPr>
          <w:rFonts w:ascii="Arial" w:eastAsiaTheme="minorEastAsia" w:hAnsi="Arial" w:cs="Arial"/>
        </w:rPr>
        <w:t>should include a focus on:</w:t>
      </w:r>
      <w:r w:rsidR="00455A42" w:rsidRPr="717D599A">
        <w:rPr>
          <w:rFonts w:ascii="Arial" w:eastAsiaTheme="minorEastAsia" w:hAnsi="Arial" w:cs="Arial"/>
        </w:rPr>
        <w:t xml:space="preserve"> reduc</w:t>
      </w:r>
      <w:r w:rsidRPr="717D599A">
        <w:rPr>
          <w:rFonts w:ascii="Arial" w:eastAsiaTheme="minorEastAsia" w:hAnsi="Arial" w:cs="Arial"/>
        </w:rPr>
        <w:t>ing</w:t>
      </w:r>
      <w:r w:rsidR="00455A42" w:rsidRPr="717D599A">
        <w:rPr>
          <w:rFonts w:ascii="Arial" w:eastAsiaTheme="minorEastAsia" w:hAnsi="Arial" w:cs="Arial"/>
        </w:rPr>
        <w:t xml:space="preserve"> stigma, fear and shame </w:t>
      </w:r>
      <w:r w:rsidRPr="717D599A">
        <w:rPr>
          <w:rFonts w:ascii="Arial" w:eastAsiaTheme="minorEastAsia" w:hAnsi="Arial" w:cs="Arial"/>
        </w:rPr>
        <w:t xml:space="preserve">around </w:t>
      </w:r>
      <w:r w:rsidR="00455A42" w:rsidRPr="717D599A">
        <w:rPr>
          <w:rFonts w:ascii="Arial" w:eastAsiaTheme="minorEastAsia" w:hAnsi="Arial" w:cs="Arial"/>
        </w:rPr>
        <w:t>menstruation</w:t>
      </w:r>
      <w:r w:rsidRPr="717D599A">
        <w:rPr>
          <w:rFonts w:ascii="Arial" w:eastAsiaTheme="minorEastAsia" w:hAnsi="Arial" w:cs="Arial"/>
        </w:rPr>
        <w:t>;</w:t>
      </w:r>
      <w:r w:rsidR="00455A42" w:rsidRPr="717D599A">
        <w:rPr>
          <w:rFonts w:ascii="Arial" w:eastAsiaTheme="minorEastAsia" w:hAnsi="Arial" w:cs="Arial"/>
        </w:rPr>
        <w:t xml:space="preserve"> teaching positive management strategies</w:t>
      </w:r>
      <w:r w:rsidRPr="717D599A">
        <w:rPr>
          <w:rFonts w:ascii="Arial" w:eastAsiaTheme="minorEastAsia" w:hAnsi="Arial" w:cs="Arial"/>
        </w:rPr>
        <w:t>;</w:t>
      </w:r>
      <w:r w:rsidR="00455A42" w:rsidRPr="717D599A">
        <w:rPr>
          <w:rFonts w:ascii="Arial" w:eastAsiaTheme="minorEastAsia" w:hAnsi="Arial" w:cs="Arial"/>
        </w:rPr>
        <w:t xml:space="preserve"> and encouraging adolescents to seek help for their menstrual concerns.</w:t>
      </w:r>
      <w:r w:rsidR="00455A42" w:rsidRPr="717D599A">
        <w:rPr>
          <w:rFonts w:ascii="Arial" w:eastAsiaTheme="minorEastAsia" w:hAnsi="Arial" w:cs="Arial"/>
          <w:vertAlign w:val="superscript"/>
        </w:rPr>
        <w:footnoteReference w:id="145"/>
      </w:r>
      <w:r w:rsidR="0089174C" w:rsidRPr="717D599A">
        <w:rPr>
          <w:rFonts w:ascii="Arial" w:eastAsiaTheme="minorEastAsia" w:hAnsi="Arial" w:cs="Arial"/>
        </w:rPr>
        <w:t xml:space="preserve"> </w:t>
      </w:r>
      <w:r w:rsidRPr="717D599A">
        <w:rPr>
          <w:rFonts w:ascii="Arial" w:eastAsiaTheme="minorEastAsia" w:hAnsi="Arial" w:cs="Arial"/>
        </w:rPr>
        <w:t>Schools must also take period and pelvic pain seriously and provide support to students experiencing it. There is strong evidence that consistent delivery of a menstrual health education program in schools increases adolescent student awareness of endometriosis.</w:t>
      </w:r>
      <w:r w:rsidRPr="717D599A">
        <w:rPr>
          <w:rStyle w:val="FootnoteReference"/>
          <w:rFonts w:ascii="Arial" w:eastAsiaTheme="minorEastAsia" w:hAnsi="Arial" w:cs="Arial"/>
        </w:rPr>
        <w:footnoteReference w:id="146"/>
      </w:r>
      <w:r w:rsidRPr="717D599A">
        <w:rPr>
          <w:rFonts w:ascii="Arial" w:eastAsiaTheme="minorEastAsia" w:hAnsi="Arial" w:cs="Arial"/>
        </w:rPr>
        <w:t xml:space="preserve"> </w:t>
      </w:r>
      <w:bookmarkStart w:id="41" w:name="_Hlk58330789"/>
    </w:p>
    <w:bookmarkEnd w:id="41"/>
    <w:p w14:paraId="129EE011" w14:textId="6B369511" w:rsidR="00455A42" w:rsidRPr="00706CD3" w:rsidRDefault="007218BF" w:rsidP="008802A1">
      <w:pPr>
        <w:spacing w:after="120" w:line="276" w:lineRule="auto"/>
        <w:jc w:val="both"/>
        <w:rPr>
          <w:rFonts w:ascii="Arial" w:eastAsiaTheme="minorEastAsia" w:hAnsi="Arial" w:cs="Arial"/>
        </w:rPr>
      </w:pPr>
      <w:r>
        <w:rPr>
          <w:rFonts w:ascii="Arial" w:eastAsiaTheme="minorEastAsia" w:hAnsi="Arial" w:cs="Arial"/>
        </w:rPr>
        <w:t>Young women also need increased access to</w:t>
      </w:r>
      <w:r w:rsidR="001F756E" w:rsidRPr="00706CD3">
        <w:rPr>
          <w:rFonts w:ascii="Arial" w:eastAsiaTheme="minorEastAsia" w:hAnsi="Arial" w:cs="Arial"/>
        </w:rPr>
        <w:t xml:space="preserve"> youth friendly sexual and reproductive health services </w:t>
      </w:r>
      <w:r>
        <w:rPr>
          <w:rFonts w:ascii="Arial" w:eastAsiaTheme="minorEastAsia" w:hAnsi="Arial" w:cs="Arial"/>
        </w:rPr>
        <w:t xml:space="preserve">outside school, where they can </w:t>
      </w:r>
      <w:r w:rsidR="001F756E" w:rsidRPr="00706CD3">
        <w:rPr>
          <w:rFonts w:ascii="Arial" w:eastAsiaTheme="minorEastAsia" w:hAnsi="Arial" w:cs="Arial"/>
        </w:rPr>
        <w:t>access information and treatment without judgement</w:t>
      </w:r>
      <w:r w:rsidR="007A515D">
        <w:rPr>
          <w:rFonts w:ascii="Arial" w:eastAsiaTheme="minorEastAsia" w:hAnsi="Arial" w:cs="Arial"/>
        </w:rPr>
        <w:t xml:space="preserve">. </w:t>
      </w:r>
    </w:p>
    <w:p w14:paraId="75FD95D3" w14:textId="3BAFE439" w:rsidR="0077281D" w:rsidRPr="00706CD3" w:rsidRDefault="00221B10" w:rsidP="008802A1">
      <w:pPr>
        <w:pStyle w:val="Heading2"/>
        <w:spacing w:before="0" w:after="120" w:line="276" w:lineRule="auto"/>
        <w:jc w:val="both"/>
        <w:rPr>
          <w:b/>
          <w:bCs/>
        </w:rPr>
      </w:pPr>
      <w:bookmarkStart w:id="42" w:name="_Toc59045887"/>
      <w:r w:rsidRPr="00706CD3">
        <w:rPr>
          <w:b/>
          <w:bCs/>
        </w:rPr>
        <w:t xml:space="preserve">Access to </w:t>
      </w:r>
      <w:r w:rsidR="005D558D" w:rsidRPr="00706CD3">
        <w:rPr>
          <w:b/>
          <w:bCs/>
        </w:rPr>
        <w:t>c</w:t>
      </w:r>
      <w:r w:rsidR="00DD75DD" w:rsidRPr="00706CD3">
        <w:rPr>
          <w:b/>
          <w:bCs/>
        </w:rPr>
        <w:t>ontraception and abortion</w:t>
      </w:r>
      <w:r w:rsidR="00B868BD" w:rsidRPr="00706CD3">
        <w:rPr>
          <w:b/>
          <w:bCs/>
        </w:rPr>
        <w:t xml:space="preserve"> </w:t>
      </w:r>
      <w:r w:rsidR="00706CD3">
        <w:rPr>
          <w:b/>
          <w:bCs/>
        </w:rPr>
        <w:t xml:space="preserve">information and </w:t>
      </w:r>
      <w:r w:rsidR="00B868BD" w:rsidRPr="00706CD3">
        <w:rPr>
          <w:b/>
          <w:bCs/>
        </w:rPr>
        <w:t>services</w:t>
      </w:r>
      <w:bookmarkEnd w:id="42"/>
      <w:r w:rsidR="00F54E1C" w:rsidRPr="00706CD3">
        <w:rPr>
          <w:b/>
          <w:bCs/>
        </w:rPr>
        <w:t xml:space="preserve"> </w:t>
      </w:r>
    </w:p>
    <w:p w14:paraId="1EC451D8" w14:textId="7984BFCB" w:rsidR="007218BF" w:rsidRDefault="007218BF" w:rsidP="008802A1">
      <w:pPr>
        <w:spacing w:after="120" w:line="276" w:lineRule="auto"/>
        <w:jc w:val="both"/>
        <w:rPr>
          <w:rFonts w:ascii="Arial" w:hAnsi="Arial" w:cs="Arial"/>
        </w:rPr>
      </w:pPr>
      <w:r w:rsidRPr="00706CD3">
        <w:rPr>
          <w:rFonts w:ascii="Arial" w:hAnsi="Arial" w:cs="Arial"/>
        </w:rPr>
        <w:t>Access to affordable and appropriate contraception and pregnancy choices is essential for young women’s sexual and reproductive health</w:t>
      </w:r>
      <w:r>
        <w:rPr>
          <w:rFonts w:ascii="Arial" w:hAnsi="Arial" w:cs="Arial"/>
        </w:rPr>
        <w:t xml:space="preserve"> and</w:t>
      </w:r>
      <w:r w:rsidRPr="00706CD3">
        <w:rPr>
          <w:rFonts w:ascii="Arial" w:hAnsi="Arial" w:cs="Arial"/>
        </w:rPr>
        <w:t xml:space="preserve"> wellbeing</w:t>
      </w:r>
      <w:r w:rsidR="00516038">
        <w:rPr>
          <w:rFonts w:ascii="Arial" w:hAnsi="Arial" w:cs="Arial"/>
        </w:rPr>
        <w:t>,</w:t>
      </w:r>
      <w:r w:rsidRPr="00706CD3">
        <w:rPr>
          <w:rFonts w:ascii="Arial" w:hAnsi="Arial" w:cs="Arial"/>
        </w:rPr>
        <w:t xml:space="preserve"> and to </w:t>
      </w:r>
      <w:r w:rsidR="00631FCA">
        <w:rPr>
          <w:rFonts w:ascii="Arial" w:hAnsi="Arial" w:cs="Arial"/>
        </w:rPr>
        <w:t>support social and economic participation throughout their lifetime</w:t>
      </w:r>
      <w:r w:rsidRPr="00706CD3">
        <w:rPr>
          <w:rFonts w:ascii="Arial" w:hAnsi="Arial" w:cs="Arial"/>
        </w:rPr>
        <w:t xml:space="preserve">. </w:t>
      </w:r>
      <w:r w:rsidR="00631FCA">
        <w:rPr>
          <w:rFonts w:ascii="Arial" w:hAnsi="Arial" w:cs="Arial"/>
        </w:rPr>
        <w:t xml:space="preserve">While Victoria has progressive abortion laws, </w:t>
      </w:r>
      <w:r w:rsidR="00631FCA">
        <w:rPr>
          <w:rFonts w:ascii="Arial" w:hAnsi="Arial" w:cs="Arial"/>
        </w:rPr>
        <w:lastRenderedPageBreak/>
        <w:t>Victorian women are still not able to exercise</w:t>
      </w:r>
      <w:r w:rsidRPr="00706CD3">
        <w:rPr>
          <w:rFonts w:ascii="Arial" w:hAnsi="Arial" w:cs="Arial"/>
        </w:rPr>
        <w:t xml:space="preserve"> their full reproductive rights, and the barriers are often heightened for young women.  </w:t>
      </w:r>
    </w:p>
    <w:p w14:paraId="1C434369" w14:textId="442FCBE5" w:rsidR="00631FCA" w:rsidRDefault="00631FCA" w:rsidP="008802A1">
      <w:pPr>
        <w:spacing w:after="120" w:line="276" w:lineRule="auto"/>
        <w:jc w:val="both"/>
        <w:rPr>
          <w:rFonts w:ascii="Arial" w:hAnsi="Arial" w:cs="Arial"/>
        </w:rPr>
      </w:pPr>
      <w:r>
        <w:rPr>
          <w:rFonts w:ascii="Arial" w:hAnsi="Arial" w:cs="Arial"/>
        </w:rPr>
        <w:t>Barriers to access to sexual and reproductive health information and services for young women include:</w:t>
      </w:r>
    </w:p>
    <w:p w14:paraId="008EC6C7" w14:textId="719347C8" w:rsidR="00631FCA" w:rsidRDefault="00516038" w:rsidP="008802A1">
      <w:pPr>
        <w:pStyle w:val="ListParagraph"/>
        <w:numPr>
          <w:ilvl w:val="0"/>
          <w:numId w:val="17"/>
        </w:numPr>
        <w:spacing w:after="120" w:line="276" w:lineRule="auto"/>
        <w:contextualSpacing w:val="0"/>
        <w:jc w:val="both"/>
        <w:rPr>
          <w:rFonts w:ascii="Arial" w:hAnsi="Arial" w:cs="Arial"/>
        </w:rPr>
      </w:pPr>
      <w:r>
        <w:rPr>
          <w:rFonts w:ascii="Arial" w:hAnsi="Arial" w:cs="Arial"/>
        </w:rPr>
        <w:t>d</w:t>
      </w:r>
      <w:r w:rsidR="00631FCA" w:rsidRPr="00706CD3">
        <w:rPr>
          <w:rFonts w:ascii="Arial" w:hAnsi="Arial" w:cs="Arial"/>
        </w:rPr>
        <w:t xml:space="preserve">eep rooted gender norms that place responsibility </w:t>
      </w:r>
      <w:r w:rsidR="0051493B">
        <w:rPr>
          <w:rFonts w:ascii="Arial" w:hAnsi="Arial" w:cs="Arial"/>
        </w:rPr>
        <w:t>for</w:t>
      </w:r>
      <w:r w:rsidR="00631FCA" w:rsidRPr="00706CD3">
        <w:rPr>
          <w:rFonts w:ascii="Arial" w:hAnsi="Arial" w:cs="Arial"/>
        </w:rPr>
        <w:t xml:space="preserve"> pregnancy prevention on women</w:t>
      </w:r>
    </w:p>
    <w:p w14:paraId="78ADEFB9" w14:textId="3979F9C2" w:rsidR="00631FCA" w:rsidRDefault="00516038" w:rsidP="008802A1">
      <w:pPr>
        <w:pStyle w:val="ListParagraph"/>
        <w:numPr>
          <w:ilvl w:val="0"/>
          <w:numId w:val="17"/>
        </w:numPr>
        <w:spacing w:after="120" w:line="276" w:lineRule="auto"/>
        <w:contextualSpacing w:val="0"/>
        <w:jc w:val="both"/>
        <w:rPr>
          <w:rFonts w:ascii="Arial" w:hAnsi="Arial" w:cs="Arial"/>
        </w:rPr>
      </w:pPr>
      <w:r>
        <w:rPr>
          <w:rFonts w:ascii="Arial" w:hAnsi="Arial" w:cs="Arial"/>
        </w:rPr>
        <w:t>p</w:t>
      </w:r>
      <w:r w:rsidR="00631FCA">
        <w:rPr>
          <w:rFonts w:ascii="Arial" w:hAnsi="Arial" w:cs="Arial"/>
        </w:rPr>
        <w:t>ersistent fears about using hormonal contraception</w:t>
      </w:r>
      <w:r w:rsidR="00631FCA" w:rsidRPr="00706CD3">
        <w:rPr>
          <w:rStyle w:val="FootnoteReference"/>
          <w:rFonts w:ascii="Arial" w:hAnsi="Arial" w:cs="Arial"/>
        </w:rPr>
        <w:footnoteReference w:id="147"/>
      </w:r>
    </w:p>
    <w:p w14:paraId="6398FDF7" w14:textId="27039174" w:rsidR="00631FCA" w:rsidRDefault="00516038" w:rsidP="008802A1">
      <w:pPr>
        <w:pStyle w:val="ListParagraph"/>
        <w:numPr>
          <w:ilvl w:val="0"/>
          <w:numId w:val="17"/>
        </w:numPr>
        <w:spacing w:after="120" w:line="276" w:lineRule="auto"/>
        <w:contextualSpacing w:val="0"/>
        <w:jc w:val="both"/>
        <w:rPr>
          <w:rFonts w:ascii="Arial" w:hAnsi="Arial" w:cs="Arial"/>
        </w:rPr>
      </w:pPr>
      <w:r>
        <w:rPr>
          <w:rFonts w:ascii="Arial" w:hAnsi="Arial" w:cs="Arial"/>
        </w:rPr>
        <w:t>h</w:t>
      </w:r>
      <w:r w:rsidR="00631FCA" w:rsidRPr="00706CD3">
        <w:rPr>
          <w:rFonts w:ascii="Arial" w:hAnsi="Arial" w:cs="Arial"/>
        </w:rPr>
        <w:t xml:space="preserve">ealth practitioners </w:t>
      </w:r>
      <w:r w:rsidR="00631FCA">
        <w:rPr>
          <w:rFonts w:ascii="Arial" w:hAnsi="Arial" w:cs="Arial"/>
        </w:rPr>
        <w:t xml:space="preserve">who </w:t>
      </w:r>
      <w:r w:rsidR="00631FCA" w:rsidRPr="00706CD3">
        <w:rPr>
          <w:rFonts w:ascii="Arial" w:hAnsi="Arial" w:cs="Arial"/>
        </w:rPr>
        <w:t xml:space="preserve">continue to relay myths or </w:t>
      </w:r>
      <w:r w:rsidR="00631FCA">
        <w:rPr>
          <w:rFonts w:ascii="Arial" w:hAnsi="Arial" w:cs="Arial"/>
        </w:rPr>
        <w:t>out-of-date</w:t>
      </w:r>
      <w:r w:rsidR="00631FCA" w:rsidRPr="00706CD3">
        <w:rPr>
          <w:rFonts w:ascii="Arial" w:hAnsi="Arial" w:cs="Arial"/>
        </w:rPr>
        <w:t xml:space="preserve"> information about long</w:t>
      </w:r>
      <w:r w:rsidR="00631FCA">
        <w:rPr>
          <w:rFonts w:ascii="Arial" w:hAnsi="Arial" w:cs="Arial"/>
        </w:rPr>
        <w:t>-acting reversible</w:t>
      </w:r>
      <w:r w:rsidR="00631FCA" w:rsidRPr="00706CD3">
        <w:rPr>
          <w:rFonts w:ascii="Arial" w:hAnsi="Arial" w:cs="Arial"/>
        </w:rPr>
        <w:t xml:space="preserve"> contraception, such as that women who have not had children should not use IUDs</w:t>
      </w:r>
      <w:r w:rsidR="00631FCA" w:rsidRPr="00706CD3">
        <w:rPr>
          <w:rStyle w:val="FootnoteReference"/>
          <w:rFonts w:ascii="Arial" w:hAnsi="Arial" w:cs="Arial"/>
        </w:rPr>
        <w:footnoteReference w:id="148"/>
      </w:r>
    </w:p>
    <w:p w14:paraId="07CDC1C6" w14:textId="61A1FB32" w:rsidR="00631FCA" w:rsidRDefault="00516038" w:rsidP="008802A1">
      <w:pPr>
        <w:pStyle w:val="ListParagraph"/>
        <w:numPr>
          <w:ilvl w:val="0"/>
          <w:numId w:val="17"/>
        </w:numPr>
        <w:spacing w:after="120" w:line="276" w:lineRule="auto"/>
        <w:contextualSpacing w:val="0"/>
        <w:jc w:val="both"/>
        <w:rPr>
          <w:rFonts w:ascii="Arial" w:hAnsi="Arial" w:cs="Arial"/>
        </w:rPr>
      </w:pPr>
      <w:r>
        <w:rPr>
          <w:rFonts w:ascii="Arial" w:hAnsi="Arial" w:cs="Arial"/>
        </w:rPr>
        <w:t>h</w:t>
      </w:r>
      <w:r w:rsidR="00631FCA" w:rsidRPr="00706CD3">
        <w:rPr>
          <w:rFonts w:ascii="Arial" w:hAnsi="Arial" w:cs="Arial"/>
        </w:rPr>
        <w:t>igh</w:t>
      </w:r>
      <w:r w:rsidR="0051493B">
        <w:rPr>
          <w:rFonts w:ascii="Arial" w:hAnsi="Arial" w:cs="Arial"/>
        </w:rPr>
        <w:t xml:space="preserve"> </w:t>
      </w:r>
      <w:r w:rsidR="00631FCA" w:rsidRPr="00706CD3">
        <w:rPr>
          <w:rFonts w:ascii="Arial" w:hAnsi="Arial" w:cs="Arial"/>
        </w:rPr>
        <w:t xml:space="preserve">rates of conscientious objection </w:t>
      </w:r>
      <w:r w:rsidR="00631FCA">
        <w:rPr>
          <w:rFonts w:ascii="Arial" w:hAnsi="Arial" w:cs="Arial"/>
        </w:rPr>
        <w:t xml:space="preserve">to abortion </w:t>
      </w:r>
      <w:r w:rsidR="00631FCA" w:rsidRPr="00706CD3">
        <w:rPr>
          <w:rFonts w:ascii="Arial" w:hAnsi="Arial" w:cs="Arial"/>
        </w:rPr>
        <w:t>among health practitioners</w:t>
      </w:r>
      <w:r w:rsidR="00631FCA">
        <w:rPr>
          <w:rFonts w:ascii="Arial" w:hAnsi="Arial" w:cs="Arial"/>
        </w:rPr>
        <w:t>, especially</w:t>
      </w:r>
      <w:r w:rsidR="00631FCA" w:rsidRPr="00706CD3">
        <w:rPr>
          <w:rFonts w:ascii="Arial" w:hAnsi="Arial" w:cs="Arial"/>
        </w:rPr>
        <w:t xml:space="preserve"> in rural and regional </w:t>
      </w:r>
      <w:r w:rsidR="00631FCA">
        <w:rPr>
          <w:rFonts w:ascii="Arial" w:hAnsi="Arial" w:cs="Arial"/>
        </w:rPr>
        <w:t>areas</w:t>
      </w:r>
      <w:r w:rsidR="00631FCA" w:rsidRPr="00706CD3">
        <w:rPr>
          <w:rFonts w:ascii="Arial" w:hAnsi="Arial" w:cs="Arial"/>
          <w:vertAlign w:val="superscript"/>
        </w:rPr>
        <w:footnoteReference w:id="149"/>
      </w:r>
    </w:p>
    <w:p w14:paraId="7EEE5C69" w14:textId="7AFDD786" w:rsidR="00631FCA" w:rsidRDefault="00516038" w:rsidP="008802A1">
      <w:pPr>
        <w:pStyle w:val="ListParagraph"/>
        <w:numPr>
          <w:ilvl w:val="0"/>
          <w:numId w:val="17"/>
        </w:numPr>
        <w:spacing w:after="120" w:line="276" w:lineRule="auto"/>
        <w:contextualSpacing w:val="0"/>
        <w:jc w:val="both"/>
        <w:rPr>
          <w:rFonts w:ascii="Arial" w:hAnsi="Arial" w:cs="Arial"/>
        </w:rPr>
      </w:pPr>
      <w:r>
        <w:rPr>
          <w:rFonts w:ascii="Arial" w:hAnsi="Arial" w:cs="Arial"/>
        </w:rPr>
        <w:t>l</w:t>
      </w:r>
      <w:r w:rsidR="0051493B">
        <w:rPr>
          <w:rFonts w:ascii="Arial" w:hAnsi="Arial" w:cs="Arial"/>
        </w:rPr>
        <w:t>ong w</w:t>
      </w:r>
      <w:r w:rsidR="00631FCA">
        <w:rPr>
          <w:rFonts w:ascii="Arial" w:hAnsi="Arial" w:cs="Arial"/>
        </w:rPr>
        <w:t>ait times</w:t>
      </w:r>
      <w:r w:rsidR="0051493B">
        <w:rPr>
          <w:rFonts w:ascii="Arial" w:hAnsi="Arial" w:cs="Arial"/>
        </w:rPr>
        <w:t>, especially in rural and regional areas</w:t>
      </w:r>
      <w:r w:rsidR="000A1E8A">
        <w:rPr>
          <w:rStyle w:val="FootnoteReference"/>
          <w:rFonts w:ascii="Arial" w:hAnsi="Arial" w:cs="Arial"/>
        </w:rPr>
        <w:footnoteReference w:id="150"/>
      </w:r>
    </w:p>
    <w:p w14:paraId="3379493B" w14:textId="3DE988D1" w:rsidR="00631FCA" w:rsidRDefault="00516038" w:rsidP="008802A1">
      <w:pPr>
        <w:pStyle w:val="ListParagraph"/>
        <w:numPr>
          <w:ilvl w:val="0"/>
          <w:numId w:val="17"/>
        </w:numPr>
        <w:spacing w:after="120" w:line="276" w:lineRule="auto"/>
        <w:contextualSpacing w:val="0"/>
        <w:jc w:val="both"/>
        <w:rPr>
          <w:rFonts w:ascii="Arial" w:hAnsi="Arial" w:cs="Arial"/>
        </w:rPr>
      </w:pPr>
      <w:r>
        <w:rPr>
          <w:rFonts w:ascii="Arial" w:hAnsi="Arial" w:cs="Arial"/>
        </w:rPr>
        <w:t>d</w:t>
      </w:r>
      <w:r w:rsidR="00631FCA" w:rsidRPr="00631FCA">
        <w:rPr>
          <w:rFonts w:ascii="Arial" w:hAnsi="Arial" w:cs="Arial"/>
        </w:rPr>
        <w:t>ifficulty obtaining an appointment without parents’ knowledge and accessing a doctor that is not their parents’ doctor</w:t>
      </w:r>
      <w:r w:rsidR="00631FCA">
        <w:rPr>
          <w:rFonts w:ascii="Arial" w:hAnsi="Arial" w:cs="Arial"/>
        </w:rPr>
        <w:t>, particularly in rural and regional areas</w:t>
      </w:r>
      <w:r w:rsidR="00587942">
        <w:rPr>
          <w:rStyle w:val="FootnoteReference"/>
          <w:rFonts w:ascii="Arial" w:hAnsi="Arial" w:cs="Arial"/>
        </w:rPr>
        <w:footnoteReference w:id="151"/>
      </w:r>
    </w:p>
    <w:p w14:paraId="5D3EEDF2" w14:textId="01EBAC97" w:rsidR="00631FCA" w:rsidRDefault="00516038" w:rsidP="008802A1">
      <w:pPr>
        <w:pStyle w:val="ListParagraph"/>
        <w:numPr>
          <w:ilvl w:val="0"/>
          <w:numId w:val="17"/>
        </w:numPr>
        <w:spacing w:after="120" w:line="276" w:lineRule="auto"/>
        <w:contextualSpacing w:val="0"/>
        <w:jc w:val="both"/>
        <w:rPr>
          <w:rFonts w:ascii="Arial" w:hAnsi="Arial" w:cs="Arial"/>
        </w:rPr>
      </w:pPr>
      <w:r>
        <w:rPr>
          <w:rFonts w:ascii="Arial" w:hAnsi="Arial" w:cs="Arial"/>
        </w:rPr>
        <w:t>c</w:t>
      </w:r>
      <w:r w:rsidR="00631FCA">
        <w:rPr>
          <w:rFonts w:ascii="Arial" w:hAnsi="Arial" w:cs="Arial"/>
        </w:rPr>
        <w:t>ost</w:t>
      </w:r>
      <w:r w:rsidR="0051493B">
        <w:rPr>
          <w:rFonts w:ascii="Arial" w:hAnsi="Arial" w:cs="Arial"/>
        </w:rPr>
        <w:t>, including cost of transport</w:t>
      </w:r>
      <w:r w:rsidR="0051493B" w:rsidRPr="00706CD3">
        <w:rPr>
          <w:rStyle w:val="FootnoteReference"/>
          <w:rFonts w:ascii="Arial" w:hAnsi="Arial" w:cs="Arial"/>
        </w:rPr>
        <w:footnoteReference w:id="152"/>
      </w:r>
    </w:p>
    <w:p w14:paraId="3C117877" w14:textId="07C3B1B2" w:rsidR="00631FCA" w:rsidRDefault="00516038" w:rsidP="008802A1">
      <w:pPr>
        <w:pStyle w:val="ListParagraph"/>
        <w:numPr>
          <w:ilvl w:val="0"/>
          <w:numId w:val="17"/>
        </w:numPr>
        <w:spacing w:after="120" w:line="276" w:lineRule="auto"/>
        <w:contextualSpacing w:val="0"/>
        <w:jc w:val="both"/>
        <w:rPr>
          <w:rFonts w:ascii="Arial" w:hAnsi="Arial" w:cs="Arial"/>
        </w:rPr>
      </w:pPr>
      <w:r>
        <w:rPr>
          <w:rFonts w:ascii="Arial" w:hAnsi="Arial" w:cs="Arial"/>
        </w:rPr>
        <w:t>j</w:t>
      </w:r>
      <w:r w:rsidR="00631FCA">
        <w:rPr>
          <w:rFonts w:ascii="Arial" w:hAnsi="Arial" w:cs="Arial"/>
        </w:rPr>
        <w:t>udg</w:t>
      </w:r>
      <w:r w:rsidR="0051493B">
        <w:rPr>
          <w:rFonts w:ascii="Arial" w:hAnsi="Arial" w:cs="Arial"/>
        </w:rPr>
        <w:t>e</w:t>
      </w:r>
      <w:r w:rsidR="00631FCA">
        <w:rPr>
          <w:rFonts w:ascii="Arial" w:hAnsi="Arial" w:cs="Arial"/>
        </w:rPr>
        <w:t>ment by health service staff</w:t>
      </w:r>
      <w:r w:rsidR="00587942">
        <w:rPr>
          <w:rStyle w:val="FootnoteReference"/>
          <w:rFonts w:ascii="Arial" w:hAnsi="Arial" w:cs="Arial"/>
        </w:rPr>
        <w:footnoteReference w:id="153"/>
      </w:r>
    </w:p>
    <w:p w14:paraId="180A3E22" w14:textId="47139D6B" w:rsidR="00882365" w:rsidRDefault="00882365" w:rsidP="00516038">
      <w:pPr>
        <w:shd w:val="clear" w:color="auto" w:fill="FFFFFF"/>
        <w:spacing w:after="120" w:line="276" w:lineRule="auto"/>
        <w:rPr>
          <w:rFonts w:ascii="Arial" w:hAnsi="Arial" w:cs="Arial"/>
        </w:rPr>
      </w:pPr>
      <w:r>
        <w:rPr>
          <w:rFonts w:ascii="Arial" w:hAnsi="Arial" w:cs="Arial"/>
        </w:rPr>
        <w:t xml:space="preserve">Consequences of lack of access to abortion and contraception for young women can be numerous, with </w:t>
      </w:r>
      <w:r w:rsidR="00516038">
        <w:rPr>
          <w:rFonts w:ascii="Arial" w:hAnsi="Arial" w:cs="Arial"/>
        </w:rPr>
        <w:t>a</w:t>
      </w:r>
      <w:r>
        <w:rPr>
          <w:rFonts w:ascii="Arial" w:hAnsi="Arial" w:cs="Arial"/>
        </w:rPr>
        <w:t xml:space="preserve">n international study </w:t>
      </w:r>
      <w:r w:rsidR="00516038">
        <w:rPr>
          <w:rFonts w:ascii="Arial" w:hAnsi="Arial" w:cs="Arial"/>
        </w:rPr>
        <w:t xml:space="preserve">from </w:t>
      </w:r>
      <w:r>
        <w:rPr>
          <w:rFonts w:ascii="Arial" w:hAnsi="Arial" w:cs="Arial"/>
        </w:rPr>
        <w:t xml:space="preserve">2015 finding that women who are denied access to abortion are more likely to: </w:t>
      </w:r>
    </w:p>
    <w:p w14:paraId="4A41F966" w14:textId="7A972890" w:rsidR="00882365" w:rsidRDefault="00882365" w:rsidP="00516038">
      <w:pPr>
        <w:pStyle w:val="ListParagraph"/>
        <w:numPr>
          <w:ilvl w:val="0"/>
          <w:numId w:val="17"/>
        </w:numPr>
        <w:spacing w:after="120" w:line="276" w:lineRule="auto"/>
        <w:contextualSpacing w:val="0"/>
        <w:jc w:val="both"/>
        <w:rPr>
          <w:rFonts w:ascii="Arial" w:hAnsi="Arial" w:cs="Arial"/>
        </w:rPr>
      </w:pPr>
      <w:r>
        <w:rPr>
          <w:rFonts w:ascii="Arial" w:hAnsi="Arial" w:cs="Arial"/>
        </w:rPr>
        <w:t xml:space="preserve">experience serious complications at the end of </w:t>
      </w:r>
      <w:r w:rsidR="006457DA">
        <w:rPr>
          <w:rFonts w:ascii="Arial" w:hAnsi="Arial" w:cs="Arial"/>
        </w:rPr>
        <w:t xml:space="preserve">the </w:t>
      </w:r>
      <w:r>
        <w:rPr>
          <w:rFonts w:ascii="Arial" w:hAnsi="Arial" w:cs="Arial"/>
        </w:rPr>
        <w:t>pregnanc</w:t>
      </w:r>
      <w:r w:rsidR="006457DA">
        <w:rPr>
          <w:rFonts w:ascii="Arial" w:hAnsi="Arial" w:cs="Arial"/>
        </w:rPr>
        <w:t>y</w:t>
      </w:r>
    </w:p>
    <w:p w14:paraId="73CD4F7D" w14:textId="6CEA0D75" w:rsidR="00882365" w:rsidRDefault="00882365" w:rsidP="00516038">
      <w:pPr>
        <w:pStyle w:val="ListParagraph"/>
        <w:numPr>
          <w:ilvl w:val="0"/>
          <w:numId w:val="17"/>
        </w:numPr>
        <w:spacing w:after="120" w:line="276" w:lineRule="auto"/>
        <w:contextualSpacing w:val="0"/>
        <w:jc w:val="both"/>
        <w:rPr>
          <w:rFonts w:ascii="Arial" w:hAnsi="Arial" w:cs="Arial"/>
        </w:rPr>
      </w:pPr>
      <w:r>
        <w:rPr>
          <w:rFonts w:ascii="Arial" w:hAnsi="Arial" w:cs="Arial"/>
        </w:rPr>
        <w:t>stay with abusive partners</w:t>
      </w:r>
      <w:r w:rsidR="006457DA">
        <w:rPr>
          <w:rFonts w:ascii="Arial" w:hAnsi="Arial" w:cs="Arial"/>
        </w:rPr>
        <w:t>,</w:t>
      </w:r>
      <w:r w:rsidR="000A1E8A">
        <w:rPr>
          <w:rFonts w:ascii="Arial" w:hAnsi="Arial" w:cs="Arial"/>
        </w:rPr>
        <w:t xml:space="preserve"> and </w:t>
      </w:r>
    </w:p>
    <w:p w14:paraId="1E30876F" w14:textId="5C87EA08" w:rsidR="00882365" w:rsidRPr="00882365" w:rsidRDefault="00882365" w:rsidP="006457DA">
      <w:pPr>
        <w:pStyle w:val="ListParagraph"/>
        <w:numPr>
          <w:ilvl w:val="0"/>
          <w:numId w:val="17"/>
        </w:numPr>
        <w:spacing w:after="120" w:line="276" w:lineRule="auto"/>
        <w:contextualSpacing w:val="0"/>
        <w:jc w:val="both"/>
        <w:rPr>
          <w:rFonts w:ascii="Arial" w:hAnsi="Arial" w:cs="Arial"/>
        </w:rPr>
      </w:pPr>
      <w:r>
        <w:rPr>
          <w:rFonts w:ascii="Arial" w:hAnsi="Arial" w:cs="Arial"/>
        </w:rPr>
        <w:t>suffer anxiety and loss of self-esteem in the short term</w:t>
      </w:r>
      <w:r w:rsidR="000A1E8A">
        <w:rPr>
          <w:rFonts w:ascii="Arial" w:hAnsi="Arial" w:cs="Arial"/>
        </w:rPr>
        <w:t>.</w:t>
      </w:r>
      <w:r w:rsidRPr="006457DA">
        <w:rPr>
          <w:vertAlign w:val="superscript"/>
        </w:rPr>
        <w:footnoteReference w:id="154"/>
      </w:r>
      <w:r w:rsidRPr="006457DA">
        <w:rPr>
          <w:rFonts w:ascii="Arial" w:hAnsi="Arial" w:cs="Arial"/>
          <w:vertAlign w:val="superscrip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blLook w:val="04A0" w:firstRow="1" w:lastRow="0" w:firstColumn="1" w:lastColumn="0" w:noHBand="0" w:noVBand="1"/>
      </w:tblPr>
      <w:tblGrid>
        <w:gridCol w:w="9016"/>
      </w:tblGrid>
      <w:tr w:rsidR="00A22DDA" w14:paraId="7FF2F891" w14:textId="77777777" w:rsidTr="000239E1">
        <w:trPr>
          <w:trHeight w:val="2334"/>
        </w:trPr>
        <w:tc>
          <w:tcPr>
            <w:tcW w:w="9016" w:type="dxa"/>
            <w:shd w:val="clear" w:color="auto" w:fill="B9FAFF"/>
          </w:tcPr>
          <w:p w14:paraId="4D992F2A" w14:textId="2A467455" w:rsidR="00A22DDA" w:rsidRDefault="00A22DDA" w:rsidP="008802A1">
            <w:pPr>
              <w:spacing w:after="120" w:line="276" w:lineRule="auto"/>
              <w:rPr>
                <w:rFonts w:ascii="Arial" w:hAnsi="Arial" w:cs="Arial"/>
                <w:b/>
                <w:bCs/>
              </w:rPr>
            </w:pPr>
            <w:r w:rsidRPr="00A22DDA">
              <w:rPr>
                <w:rFonts w:ascii="Arial" w:hAnsi="Arial" w:cs="Arial"/>
                <w:b/>
                <w:bCs/>
              </w:rPr>
              <w:lastRenderedPageBreak/>
              <w:t xml:space="preserve">Case study: Health practitioners can </w:t>
            </w:r>
            <w:r w:rsidR="006457DA">
              <w:rPr>
                <w:rFonts w:ascii="Arial" w:hAnsi="Arial" w:cs="Arial"/>
                <w:b/>
                <w:bCs/>
              </w:rPr>
              <w:t>increase</w:t>
            </w:r>
            <w:r w:rsidRPr="00A22DDA">
              <w:rPr>
                <w:rFonts w:ascii="Arial" w:hAnsi="Arial" w:cs="Arial"/>
                <w:b/>
                <w:bCs/>
              </w:rPr>
              <w:t xml:space="preserve"> barriers to sexual and reproductive health for young wome</w:t>
            </w:r>
            <w:r>
              <w:rPr>
                <w:rFonts w:ascii="Arial" w:hAnsi="Arial" w:cs="Arial"/>
                <w:b/>
                <w:bCs/>
              </w:rPr>
              <w:t>n</w:t>
            </w:r>
          </w:p>
          <w:p w14:paraId="04F9D87D" w14:textId="0A310BA0" w:rsidR="00A22DDA" w:rsidRPr="00A22DDA" w:rsidRDefault="00A22DDA" w:rsidP="008802A1">
            <w:pPr>
              <w:spacing w:after="120" w:line="276" w:lineRule="auto"/>
              <w:jc w:val="both"/>
              <w:rPr>
                <w:rFonts w:ascii="Arial" w:hAnsi="Arial" w:cs="Arial"/>
                <w:b/>
                <w:bCs/>
              </w:rPr>
            </w:pPr>
            <w:r w:rsidRPr="00A22DDA">
              <w:rPr>
                <w:rFonts w:ascii="Arial" w:hAnsi="Arial" w:cs="Arial"/>
                <w:color w:val="000000"/>
              </w:rPr>
              <w:t xml:space="preserve">A 19 year old woman from outer eastern Gippsland region who called WHV’s sexual and reproductive health information and referral service, </w:t>
            </w:r>
            <w:r w:rsidRPr="00A22DDA">
              <w:rPr>
                <w:rFonts w:ascii="Arial" w:hAnsi="Arial" w:cs="Arial"/>
                <w:i/>
                <w:iCs/>
                <w:color w:val="000000"/>
              </w:rPr>
              <w:t>1800 My Options</w:t>
            </w:r>
            <w:r w:rsidRPr="00A22DDA">
              <w:rPr>
                <w:rFonts w:ascii="Arial" w:hAnsi="Arial" w:cs="Arial"/>
                <w:color w:val="000000"/>
              </w:rPr>
              <w:t xml:space="preserve">, was told by her General Practitioner (GP) that no abortion services existed in the region, and she would need to travel to Melbourne for a termination. The woman called </w:t>
            </w:r>
            <w:r w:rsidRPr="00A22DDA">
              <w:rPr>
                <w:rFonts w:ascii="Arial" w:hAnsi="Arial" w:cs="Arial"/>
                <w:i/>
                <w:iCs/>
                <w:color w:val="000000"/>
              </w:rPr>
              <w:t>1800 My Options</w:t>
            </w:r>
            <w:r w:rsidRPr="00A22DDA">
              <w:rPr>
                <w:rFonts w:ascii="Arial" w:hAnsi="Arial" w:cs="Arial"/>
                <w:color w:val="000000"/>
              </w:rPr>
              <w:t xml:space="preserve"> on the advice of a friend and was provided with pathways to two GPs within her region where she could access low cost medical abortion.</w:t>
            </w:r>
          </w:p>
        </w:tc>
      </w:tr>
    </w:tbl>
    <w:p w14:paraId="561B9415" w14:textId="5F99570C" w:rsidR="00F61161" w:rsidRPr="00706CD3" w:rsidRDefault="00F61161" w:rsidP="006457DA">
      <w:pPr>
        <w:spacing w:before="120" w:after="120" w:line="276" w:lineRule="auto"/>
        <w:jc w:val="both"/>
        <w:rPr>
          <w:rFonts w:ascii="Arial" w:hAnsi="Arial" w:cs="Arial"/>
        </w:rPr>
      </w:pPr>
      <w:r>
        <w:rPr>
          <w:rFonts w:ascii="Arial" w:hAnsi="Arial" w:cs="Arial"/>
        </w:rPr>
        <w:t>F</w:t>
      </w:r>
      <w:r w:rsidRPr="00706CD3">
        <w:rPr>
          <w:rFonts w:ascii="Arial" w:hAnsi="Arial" w:cs="Arial"/>
        </w:rPr>
        <w:t>urther investment</w:t>
      </w:r>
      <w:r>
        <w:rPr>
          <w:rFonts w:ascii="Arial" w:hAnsi="Arial" w:cs="Arial"/>
        </w:rPr>
        <w:t xml:space="preserve"> is needed to ensure</w:t>
      </w:r>
      <w:r w:rsidRPr="00706CD3">
        <w:rPr>
          <w:rFonts w:ascii="Arial" w:hAnsi="Arial" w:cs="Arial"/>
        </w:rPr>
        <w:t xml:space="preserve"> </w:t>
      </w:r>
      <w:r>
        <w:rPr>
          <w:rFonts w:ascii="Arial" w:hAnsi="Arial" w:cs="Arial"/>
        </w:rPr>
        <w:t xml:space="preserve">all </w:t>
      </w:r>
      <w:r w:rsidRPr="00706CD3">
        <w:rPr>
          <w:rFonts w:ascii="Arial" w:hAnsi="Arial" w:cs="Arial"/>
        </w:rPr>
        <w:t xml:space="preserve">young </w:t>
      </w:r>
      <w:r>
        <w:rPr>
          <w:rFonts w:ascii="Arial" w:hAnsi="Arial" w:cs="Arial"/>
        </w:rPr>
        <w:t>women</w:t>
      </w:r>
      <w:r w:rsidRPr="00706CD3">
        <w:rPr>
          <w:rFonts w:ascii="Arial" w:hAnsi="Arial" w:cs="Arial"/>
        </w:rPr>
        <w:t xml:space="preserve"> </w:t>
      </w:r>
      <w:r>
        <w:rPr>
          <w:rFonts w:ascii="Arial" w:hAnsi="Arial" w:cs="Arial"/>
        </w:rPr>
        <w:t>can</w:t>
      </w:r>
      <w:r w:rsidRPr="00706CD3">
        <w:rPr>
          <w:rFonts w:ascii="Arial" w:hAnsi="Arial" w:cs="Arial"/>
        </w:rPr>
        <w:t xml:space="preserve"> access </w:t>
      </w:r>
      <w:r>
        <w:rPr>
          <w:rFonts w:ascii="Arial" w:hAnsi="Arial" w:cs="Arial"/>
        </w:rPr>
        <w:t xml:space="preserve">youth-friendly, confidential and non-judgemental </w:t>
      </w:r>
      <w:r w:rsidRPr="00706CD3">
        <w:rPr>
          <w:rFonts w:ascii="Arial" w:hAnsi="Arial" w:cs="Arial"/>
        </w:rPr>
        <w:t>contraception and abortion information and service</w:t>
      </w:r>
      <w:r>
        <w:rPr>
          <w:rFonts w:ascii="Arial" w:hAnsi="Arial" w:cs="Arial"/>
        </w:rPr>
        <w:t>s in all regions of Victoria.</w:t>
      </w:r>
      <w:r w:rsidRPr="00706CD3">
        <w:rPr>
          <w:rFonts w:ascii="Arial" w:hAnsi="Arial" w:cs="Arial"/>
        </w:rPr>
        <w:t xml:space="preserve"> </w:t>
      </w:r>
      <w:r w:rsidR="000C7B16">
        <w:rPr>
          <w:rFonts w:ascii="Arial" w:hAnsi="Arial" w:cs="Arial"/>
        </w:rPr>
        <w:t>This is explored further below.</w:t>
      </w:r>
    </w:p>
    <w:p w14:paraId="4C48089A" w14:textId="211C1071" w:rsidR="000F2016" w:rsidRPr="00706CD3" w:rsidRDefault="0051493B" w:rsidP="008802A1">
      <w:pPr>
        <w:spacing w:after="120" w:line="276" w:lineRule="auto"/>
        <w:jc w:val="both"/>
        <w:rPr>
          <w:rFonts w:ascii="Arial" w:hAnsi="Arial" w:cs="Arial"/>
        </w:rPr>
      </w:pPr>
      <w:r>
        <w:rPr>
          <w:rFonts w:ascii="Arial" w:hAnsi="Arial" w:cs="Arial"/>
        </w:rPr>
        <w:t>Some groups of young women experience additional barriers to access.</w:t>
      </w:r>
      <w:r w:rsidR="000F2016" w:rsidRPr="00706CD3">
        <w:rPr>
          <w:rFonts w:ascii="Arial" w:hAnsi="Arial" w:cs="Arial"/>
        </w:rPr>
        <w:t xml:space="preserve"> </w:t>
      </w:r>
      <w:r>
        <w:rPr>
          <w:rFonts w:ascii="Arial" w:hAnsi="Arial" w:cs="Arial"/>
        </w:rPr>
        <w:t>For example, young women on temporary or student visas have limited service options. This was exacerbated during</w:t>
      </w:r>
      <w:r w:rsidR="00AB6967" w:rsidRPr="00706CD3">
        <w:rPr>
          <w:rFonts w:ascii="Arial" w:hAnsi="Arial" w:cs="Arial"/>
        </w:rPr>
        <w:t xml:space="preserve"> COVID</w:t>
      </w:r>
      <w:r>
        <w:rPr>
          <w:rFonts w:ascii="Arial" w:hAnsi="Arial" w:cs="Arial"/>
        </w:rPr>
        <w:t>-</w:t>
      </w:r>
      <w:r w:rsidR="00AB6967" w:rsidRPr="00706CD3">
        <w:rPr>
          <w:rFonts w:ascii="Arial" w:hAnsi="Arial" w:cs="Arial"/>
        </w:rPr>
        <w:t>19</w:t>
      </w:r>
      <w:r w:rsidR="00343115" w:rsidRPr="00706CD3">
        <w:rPr>
          <w:rFonts w:ascii="Arial" w:hAnsi="Arial" w:cs="Arial"/>
        </w:rPr>
        <w:t xml:space="preserve"> </w:t>
      </w:r>
      <w:r>
        <w:rPr>
          <w:rFonts w:ascii="Arial" w:hAnsi="Arial" w:cs="Arial"/>
        </w:rPr>
        <w:t xml:space="preserve">when many of </w:t>
      </w:r>
      <w:r w:rsidR="00343115" w:rsidRPr="00706CD3">
        <w:rPr>
          <w:rFonts w:ascii="Arial" w:hAnsi="Arial" w:cs="Arial"/>
        </w:rPr>
        <w:t xml:space="preserve">those on temporary or student visas lost their </w:t>
      </w:r>
      <w:r>
        <w:rPr>
          <w:rFonts w:ascii="Arial" w:hAnsi="Arial" w:cs="Arial"/>
        </w:rPr>
        <w:t>jobs and were unable to access income supplements</w:t>
      </w:r>
      <w:r w:rsidR="00343115" w:rsidRPr="00706CD3">
        <w:rPr>
          <w:rFonts w:ascii="Arial" w:hAnsi="Arial" w:cs="Arial"/>
        </w:rPr>
        <w:t xml:space="preserve">. </w:t>
      </w:r>
      <w:r w:rsidR="00343115" w:rsidRPr="00F61161">
        <w:rPr>
          <w:rFonts w:ascii="Arial" w:hAnsi="Arial" w:cs="Arial"/>
          <w:i/>
          <w:iCs/>
        </w:rPr>
        <w:t xml:space="preserve">1800 </w:t>
      </w:r>
      <w:r w:rsidR="000D39C8" w:rsidRPr="00F61161">
        <w:rPr>
          <w:rFonts w:ascii="Arial" w:hAnsi="Arial" w:cs="Arial"/>
          <w:i/>
          <w:iCs/>
        </w:rPr>
        <w:t>M</w:t>
      </w:r>
      <w:r w:rsidR="00F61161" w:rsidRPr="00F61161">
        <w:rPr>
          <w:rFonts w:ascii="Arial" w:hAnsi="Arial" w:cs="Arial"/>
          <w:i/>
          <w:iCs/>
        </w:rPr>
        <w:t>y</w:t>
      </w:r>
      <w:r w:rsidR="000D39C8" w:rsidRPr="00F61161">
        <w:rPr>
          <w:rFonts w:ascii="Arial" w:hAnsi="Arial" w:cs="Arial"/>
          <w:i/>
          <w:iCs/>
        </w:rPr>
        <w:t xml:space="preserve"> Options</w:t>
      </w:r>
      <w:r w:rsidR="00CB0DB6" w:rsidRPr="00706CD3">
        <w:rPr>
          <w:rFonts w:ascii="Arial" w:hAnsi="Arial" w:cs="Arial"/>
        </w:rPr>
        <w:t xml:space="preserve"> </w:t>
      </w:r>
      <w:r w:rsidR="000D39C8" w:rsidRPr="00706CD3">
        <w:rPr>
          <w:rFonts w:ascii="Arial" w:hAnsi="Arial" w:cs="Arial"/>
        </w:rPr>
        <w:t xml:space="preserve">reported a higher number of </w:t>
      </w:r>
      <w:r w:rsidR="00E77C94" w:rsidRPr="00706CD3">
        <w:rPr>
          <w:rFonts w:ascii="Arial" w:hAnsi="Arial" w:cs="Arial"/>
        </w:rPr>
        <w:t>these</w:t>
      </w:r>
      <w:r w:rsidR="000D39C8" w:rsidRPr="00706CD3">
        <w:rPr>
          <w:rFonts w:ascii="Arial" w:hAnsi="Arial" w:cs="Arial"/>
        </w:rPr>
        <w:t xml:space="preserve"> </w:t>
      </w:r>
      <w:r w:rsidR="00E77C94" w:rsidRPr="00706CD3">
        <w:rPr>
          <w:rFonts w:ascii="Arial" w:hAnsi="Arial" w:cs="Arial"/>
        </w:rPr>
        <w:t>w</w:t>
      </w:r>
      <w:r w:rsidR="000D39C8" w:rsidRPr="00706CD3">
        <w:rPr>
          <w:rFonts w:ascii="Arial" w:hAnsi="Arial" w:cs="Arial"/>
        </w:rPr>
        <w:t>omen seeking access to free or low</w:t>
      </w:r>
      <w:r w:rsidR="0024401E" w:rsidRPr="00706CD3">
        <w:rPr>
          <w:rFonts w:ascii="Arial" w:hAnsi="Arial" w:cs="Arial"/>
        </w:rPr>
        <w:t>-</w:t>
      </w:r>
      <w:r w:rsidR="000D39C8" w:rsidRPr="00706CD3">
        <w:rPr>
          <w:rFonts w:ascii="Arial" w:hAnsi="Arial" w:cs="Arial"/>
        </w:rPr>
        <w:t xml:space="preserve">cost contraception or abortion during this period. </w:t>
      </w:r>
      <w:r w:rsidR="0024401E" w:rsidRPr="00F61161">
        <w:rPr>
          <w:rFonts w:ascii="Arial" w:hAnsi="Arial" w:cs="Arial"/>
          <w:i/>
          <w:iCs/>
        </w:rPr>
        <w:t>1800</w:t>
      </w:r>
      <w:r w:rsidR="00E77C94" w:rsidRPr="00F61161">
        <w:rPr>
          <w:rFonts w:ascii="Arial" w:hAnsi="Arial" w:cs="Arial"/>
          <w:i/>
          <w:iCs/>
        </w:rPr>
        <w:t xml:space="preserve"> My Options</w:t>
      </w:r>
      <w:r w:rsidR="0024401E" w:rsidRPr="00706CD3">
        <w:rPr>
          <w:rFonts w:ascii="Arial" w:hAnsi="Arial" w:cs="Arial"/>
        </w:rPr>
        <w:t xml:space="preserve"> partnered with </w:t>
      </w:r>
      <w:r w:rsidR="00F61161">
        <w:rPr>
          <w:rFonts w:ascii="Arial" w:hAnsi="Arial" w:cs="Arial"/>
        </w:rPr>
        <w:t>F</w:t>
      </w:r>
      <w:r w:rsidR="0024401E" w:rsidRPr="00706CD3">
        <w:rPr>
          <w:rFonts w:ascii="Arial" w:hAnsi="Arial" w:cs="Arial"/>
        </w:rPr>
        <w:t xml:space="preserve">amily </w:t>
      </w:r>
      <w:r w:rsidR="00F61161">
        <w:rPr>
          <w:rFonts w:ascii="Arial" w:hAnsi="Arial" w:cs="Arial"/>
        </w:rPr>
        <w:t>P</w:t>
      </w:r>
      <w:r w:rsidR="0024401E" w:rsidRPr="00706CD3">
        <w:rPr>
          <w:rFonts w:ascii="Arial" w:hAnsi="Arial" w:cs="Arial"/>
        </w:rPr>
        <w:t xml:space="preserve">lanning Victoria to </w:t>
      </w:r>
      <w:r w:rsidR="00F61161">
        <w:rPr>
          <w:rFonts w:ascii="Arial" w:hAnsi="Arial" w:cs="Arial"/>
        </w:rPr>
        <w:t>provide access to</w:t>
      </w:r>
      <w:r w:rsidR="0024401E" w:rsidRPr="00706CD3">
        <w:rPr>
          <w:rFonts w:ascii="Arial" w:hAnsi="Arial" w:cs="Arial"/>
        </w:rPr>
        <w:t xml:space="preserve"> affordable contraception and pregnancy options</w:t>
      </w:r>
      <w:r w:rsidR="00F61161">
        <w:rPr>
          <w:rFonts w:ascii="Arial" w:hAnsi="Arial" w:cs="Arial"/>
        </w:rPr>
        <w:t xml:space="preserve"> for some of these women</w:t>
      </w:r>
      <w:r w:rsidR="0024401E" w:rsidRPr="00706CD3">
        <w:rPr>
          <w:rFonts w:ascii="Arial" w:hAnsi="Arial" w:cs="Arial"/>
        </w:rPr>
        <w:t xml:space="preserve">. </w:t>
      </w:r>
      <w:r w:rsidR="00F61161">
        <w:rPr>
          <w:rFonts w:ascii="Arial" w:hAnsi="Arial" w:cs="Arial"/>
        </w:rPr>
        <w:t>Information and services for young migrant women, including those women on temporary or student visas, must be affordable, inclusive (including having information available in multiple languages and access to translators)</w:t>
      </w:r>
      <w:r w:rsidR="000A1E8A">
        <w:rPr>
          <w:rFonts w:ascii="Arial" w:hAnsi="Arial" w:cs="Arial"/>
        </w:rPr>
        <w:t xml:space="preserve"> and</w:t>
      </w:r>
      <w:r w:rsidR="00F61161">
        <w:rPr>
          <w:rFonts w:ascii="Arial" w:hAnsi="Arial" w:cs="Arial"/>
        </w:rPr>
        <w:t xml:space="preserve"> </w:t>
      </w:r>
      <w:r w:rsidR="00F61161" w:rsidRPr="00706CD3">
        <w:rPr>
          <w:rFonts w:ascii="Arial" w:hAnsi="Arial" w:cs="Arial"/>
        </w:rPr>
        <w:t>culturally sensitive (</w:t>
      </w:r>
      <w:r w:rsidR="00F61161">
        <w:rPr>
          <w:rFonts w:ascii="Arial" w:hAnsi="Arial" w:cs="Arial"/>
        </w:rPr>
        <w:t>e.g.</w:t>
      </w:r>
      <w:r w:rsidR="00F61161" w:rsidRPr="00706CD3">
        <w:rPr>
          <w:rFonts w:ascii="Arial" w:hAnsi="Arial" w:cs="Arial"/>
        </w:rPr>
        <w:t xml:space="preserve"> ensuring female practitioners are available). </w:t>
      </w:r>
    </w:p>
    <w:p w14:paraId="4B2956BD" w14:textId="30A747CE" w:rsidR="00F54E1C" w:rsidRPr="00044BFB" w:rsidRDefault="003D26A8" w:rsidP="008802A1">
      <w:pPr>
        <w:spacing w:after="120" w:line="276" w:lineRule="auto"/>
        <w:jc w:val="both"/>
        <w:rPr>
          <w:rFonts w:ascii="Arial" w:hAnsi="Arial" w:cs="Arial"/>
        </w:rPr>
      </w:pPr>
      <w:r>
        <w:rPr>
          <w:rFonts w:ascii="Arial" w:hAnsi="Arial" w:cs="Arial"/>
        </w:rPr>
        <w:t>Young women</w:t>
      </w:r>
      <w:r w:rsidR="00383DF7" w:rsidRPr="00706CD3">
        <w:rPr>
          <w:rFonts w:ascii="Arial" w:hAnsi="Arial" w:cs="Arial"/>
        </w:rPr>
        <w:t xml:space="preserve"> with disabilities </w:t>
      </w:r>
      <w:r w:rsidR="007F545F" w:rsidRPr="00706CD3">
        <w:rPr>
          <w:rFonts w:ascii="Arial" w:hAnsi="Arial" w:cs="Arial"/>
        </w:rPr>
        <w:t>may face</w:t>
      </w:r>
      <w:r w:rsidR="00383DF7" w:rsidRPr="00706CD3">
        <w:rPr>
          <w:rFonts w:ascii="Arial" w:hAnsi="Arial" w:cs="Arial"/>
        </w:rPr>
        <w:t xml:space="preserve"> transport and </w:t>
      </w:r>
      <w:r w:rsidR="00F61161">
        <w:rPr>
          <w:rFonts w:ascii="Arial" w:hAnsi="Arial" w:cs="Arial"/>
        </w:rPr>
        <w:t xml:space="preserve">other </w:t>
      </w:r>
      <w:r w:rsidR="00383DF7" w:rsidRPr="00706CD3">
        <w:rPr>
          <w:rFonts w:ascii="Arial" w:hAnsi="Arial" w:cs="Arial"/>
        </w:rPr>
        <w:t>barriers which stop them from having independent access to key services and information.</w:t>
      </w:r>
      <w:r w:rsidR="007F545F" w:rsidRPr="00706CD3">
        <w:rPr>
          <w:rFonts w:ascii="Arial" w:hAnsi="Arial" w:cs="Arial"/>
        </w:rPr>
        <w:t xml:space="preserve"> </w:t>
      </w:r>
      <w:r w:rsidR="00F61161">
        <w:rPr>
          <w:rFonts w:ascii="Arial" w:hAnsi="Arial" w:cs="Arial"/>
        </w:rPr>
        <w:t>In addition, a</w:t>
      </w:r>
      <w:r w:rsidR="001F227B" w:rsidRPr="00706CD3">
        <w:rPr>
          <w:rFonts w:ascii="Arial" w:hAnsi="Arial" w:cs="Arial"/>
        </w:rPr>
        <w:t xml:space="preserve"> recent</w:t>
      </w:r>
      <w:r w:rsidR="007F545F" w:rsidRPr="00706CD3">
        <w:rPr>
          <w:rFonts w:ascii="Arial" w:hAnsi="Arial" w:cs="Arial"/>
        </w:rPr>
        <w:t xml:space="preserve"> consultation </w:t>
      </w:r>
      <w:r w:rsidR="00F61161">
        <w:rPr>
          <w:rFonts w:ascii="Arial" w:hAnsi="Arial" w:cs="Arial"/>
        </w:rPr>
        <w:t xml:space="preserve">undertaken </w:t>
      </w:r>
      <w:r w:rsidR="007F545F" w:rsidRPr="00706CD3">
        <w:rPr>
          <w:rFonts w:ascii="Arial" w:hAnsi="Arial" w:cs="Arial"/>
        </w:rPr>
        <w:t xml:space="preserve">by WHV highlighted that many </w:t>
      </w:r>
      <w:r w:rsidR="00E93B38" w:rsidRPr="00706CD3">
        <w:rPr>
          <w:rFonts w:ascii="Arial" w:hAnsi="Arial" w:cs="Arial"/>
        </w:rPr>
        <w:t>sexual and reproductive health</w:t>
      </w:r>
      <w:r w:rsidR="007F545F" w:rsidRPr="00706CD3">
        <w:rPr>
          <w:rFonts w:ascii="Arial" w:hAnsi="Arial" w:cs="Arial"/>
        </w:rPr>
        <w:t xml:space="preserve"> services do</w:t>
      </w:r>
      <w:r w:rsidR="00F61161">
        <w:rPr>
          <w:rFonts w:ascii="Arial" w:hAnsi="Arial" w:cs="Arial"/>
        </w:rPr>
        <w:t xml:space="preserve"> </w:t>
      </w:r>
      <w:r w:rsidR="007F545F" w:rsidRPr="00706CD3">
        <w:rPr>
          <w:rFonts w:ascii="Arial" w:hAnsi="Arial" w:cs="Arial"/>
        </w:rPr>
        <w:t>n</w:t>
      </w:r>
      <w:r w:rsidR="00F61161">
        <w:rPr>
          <w:rFonts w:ascii="Arial" w:hAnsi="Arial" w:cs="Arial"/>
        </w:rPr>
        <w:t>o</w:t>
      </w:r>
      <w:r w:rsidR="007F545F" w:rsidRPr="00706CD3">
        <w:rPr>
          <w:rFonts w:ascii="Arial" w:hAnsi="Arial" w:cs="Arial"/>
        </w:rPr>
        <w:t xml:space="preserve">t provide information in </w:t>
      </w:r>
      <w:r w:rsidR="00F61161">
        <w:rPr>
          <w:rFonts w:ascii="Arial" w:hAnsi="Arial" w:cs="Arial"/>
        </w:rPr>
        <w:t xml:space="preserve">accessible </w:t>
      </w:r>
      <w:r w:rsidR="007F545F" w:rsidRPr="00706CD3">
        <w:rPr>
          <w:rFonts w:ascii="Arial" w:hAnsi="Arial" w:cs="Arial"/>
        </w:rPr>
        <w:t xml:space="preserve">formats </w:t>
      </w:r>
      <w:r w:rsidR="001F227B" w:rsidRPr="00706CD3">
        <w:rPr>
          <w:rFonts w:ascii="Arial" w:hAnsi="Arial" w:cs="Arial"/>
        </w:rPr>
        <w:t>and many</w:t>
      </w:r>
      <w:r w:rsidR="007F545F" w:rsidRPr="00706CD3">
        <w:rPr>
          <w:rFonts w:ascii="Arial" w:hAnsi="Arial" w:cs="Arial"/>
        </w:rPr>
        <w:t xml:space="preserve"> </w:t>
      </w:r>
      <w:r w:rsidR="001F227B" w:rsidRPr="00706CD3">
        <w:rPr>
          <w:rFonts w:ascii="Arial" w:hAnsi="Arial" w:cs="Arial"/>
        </w:rPr>
        <w:t xml:space="preserve">health services still demonstrate </w:t>
      </w:r>
      <w:r w:rsidR="007F545F" w:rsidRPr="00706CD3">
        <w:rPr>
          <w:rFonts w:ascii="Arial" w:hAnsi="Arial" w:cs="Arial"/>
        </w:rPr>
        <w:t>ableist attitudes that</w:t>
      </w:r>
      <w:r w:rsidR="001F227B" w:rsidRPr="00706CD3">
        <w:rPr>
          <w:rFonts w:ascii="Arial" w:hAnsi="Arial" w:cs="Arial"/>
        </w:rPr>
        <w:t xml:space="preserve"> further </w:t>
      </w:r>
      <w:r w:rsidR="00F61161">
        <w:rPr>
          <w:rFonts w:ascii="Arial" w:hAnsi="Arial" w:cs="Arial"/>
        </w:rPr>
        <w:t>limit</w:t>
      </w:r>
      <w:r w:rsidR="007F545F" w:rsidRPr="00706CD3">
        <w:rPr>
          <w:rFonts w:ascii="Arial" w:hAnsi="Arial" w:cs="Arial"/>
        </w:rPr>
        <w:t xml:space="preserve"> access for women with a disability</w:t>
      </w:r>
      <w:r w:rsidR="001F227B" w:rsidRPr="00706CD3">
        <w:rPr>
          <w:rFonts w:ascii="Arial" w:hAnsi="Arial" w:cs="Arial"/>
        </w:rPr>
        <w:t>.</w:t>
      </w:r>
      <w:r w:rsidR="00F61161" w:rsidRPr="00706CD3">
        <w:rPr>
          <w:rStyle w:val="FootnoteReference"/>
          <w:rFonts w:ascii="Arial" w:hAnsi="Arial" w:cs="Arial"/>
        </w:rPr>
        <w:footnoteReference w:id="155"/>
      </w:r>
      <w:r w:rsidR="001F227B" w:rsidRPr="00706CD3">
        <w:rPr>
          <w:rFonts w:ascii="Arial" w:hAnsi="Arial" w:cs="Arial"/>
        </w:rPr>
        <w:t xml:space="preserve"> </w:t>
      </w:r>
      <w:r w:rsidR="00F61161">
        <w:rPr>
          <w:rFonts w:ascii="Arial" w:hAnsi="Arial" w:cs="Arial"/>
        </w:rPr>
        <w:t xml:space="preserve">Information and services for </w:t>
      </w:r>
      <w:r w:rsidR="001F227B" w:rsidRPr="00706CD3">
        <w:rPr>
          <w:rFonts w:ascii="Arial" w:hAnsi="Arial" w:cs="Arial"/>
        </w:rPr>
        <w:t xml:space="preserve">young women with a disability </w:t>
      </w:r>
      <w:r w:rsidR="00F61161">
        <w:rPr>
          <w:rFonts w:ascii="Arial" w:hAnsi="Arial" w:cs="Arial"/>
        </w:rPr>
        <w:t>must be physically</w:t>
      </w:r>
      <w:r w:rsidR="00F600C8" w:rsidRPr="00706CD3">
        <w:rPr>
          <w:rFonts w:ascii="Arial" w:hAnsi="Arial" w:cs="Arial"/>
        </w:rPr>
        <w:t xml:space="preserve"> accessible, </w:t>
      </w:r>
      <w:r w:rsidR="00F61161">
        <w:rPr>
          <w:rFonts w:ascii="Arial" w:hAnsi="Arial" w:cs="Arial"/>
        </w:rPr>
        <w:t xml:space="preserve">welcoming and inclusive, </w:t>
      </w:r>
      <w:r w:rsidR="00CC3950">
        <w:rPr>
          <w:rFonts w:ascii="Arial" w:hAnsi="Arial" w:cs="Arial"/>
        </w:rPr>
        <w:t xml:space="preserve">and </w:t>
      </w:r>
      <w:r w:rsidR="00F61161">
        <w:rPr>
          <w:rFonts w:ascii="Arial" w:hAnsi="Arial" w:cs="Arial"/>
        </w:rPr>
        <w:t xml:space="preserve">have </w:t>
      </w:r>
      <w:r w:rsidR="00F600C8" w:rsidRPr="00706CD3">
        <w:rPr>
          <w:rFonts w:ascii="Arial" w:hAnsi="Arial" w:cs="Arial"/>
        </w:rPr>
        <w:t xml:space="preserve">information available in a variety of accessible formats.  </w:t>
      </w:r>
    </w:p>
    <w:p w14:paraId="2E5B1FF1" w14:textId="1BC3D985" w:rsidR="001301F7" w:rsidRDefault="001301F7" w:rsidP="008802A1">
      <w:pPr>
        <w:pStyle w:val="Heading2"/>
        <w:spacing w:before="0" w:after="120" w:line="276" w:lineRule="auto"/>
        <w:jc w:val="both"/>
        <w:rPr>
          <w:b/>
          <w:bCs/>
        </w:rPr>
      </w:pPr>
      <w:bookmarkStart w:id="44" w:name="_Toc59045888"/>
      <w:r>
        <w:rPr>
          <w:b/>
          <w:bCs/>
        </w:rPr>
        <w:t>Youth-friendly sexual and reproductive health services</w:t>
      </w:r>
      <w:bookmarkEnd w:id="44"/>
    </w:p>
    <w:p w14:paraId="3F24EBFC" w14:textId="08B039EE" w:rsidR="001301F7" w:rsidRPr="00706CD3" w:rsidRDefault="0057646F" w:rsidP="008802A1">
      <w:pPr>
        <w:spacing w:after="120" w:line="276" w:lineRule="auto"/>
        <w:jc w:val="both"/>
        <w:rPr>
          <w:rFonts w:ascii="Arial" w:hAnsi="Arial" w:cs="Arial"/>
        </w:rPr>
      </w:pPr>
      <w:r>
        <w:rPr>
          <w:rFonts w:ascii="Arial" w:hAnsi="Arial" w:cs="Arial"/>
        </w:rPr>
        <w:t>According to t</w:t>
      </w:r>
      <w:r w:rsidR="001301F7" w:rsidRPr="00706CD3">
        <w:rPr>
          <w:rFonts w:ascii="Arial" w:hAnsi="Arial" w:cs="Arial"/>
        </w:rPr>
        <w:t>he World Health Organisation (WHO)</w:t>
      </w:r>
      <w:r>
        <w:rPr>
          <w:rFonts w:ascii="Arial" w:hAnsi="Arial" w:cs="Arial"/>
        </w:rPr>
        <w:t>,</w:t>
      </w:r>
      <w:r w:rsidR="001301F7" w:rsidRPr="00706CD3">
        <w:rPr>
          <w:rFonts w:ascii="Arial" w:hAnsi="Arial" w:cs="Arial"/>
        </w:rPr>
        <w:t xml:space="preserve"> the </w:t>
      </w:r>
      <w:r w:rsidR="006F1A3A">
        <w:rPr>
          <w:rFonts w:ascii="Arial" w:hAnsi="Arial" w:cs="Arial"/>
        </w:rPr>
        <w:t xml:space="preserve">two </w:t>
      </w:r>
      <w:r w:rsidR="001301F7" w:rsidRPr="00706CD3">
        <w:rPr>
          <w:rFonts w:ascii="Arial" w:hAnsi="Arial" w:cs="Arial"/>
        </w:rPr>
        <w:t xml:space="preserve">most common characteristics that young people want in a sexual and reproductive health service </w:t>
      </w:r>
      <w:r w:rsidR="006F1A3A">
        <w:rPr>
          <w:rFonts w:ascii="Arial" w:hAnsi="Arial" w:cs="Arial"/>
        </w:rPr>
        <w:t>are</w:t>
      </w:r>
      <w:r w:rsidR="006F1A3A" w:rsidRPr="00706CD3">
        <w:rPr>
          <w:rFonts w:ascii="Arial" w:hAnsi="Arial" w:cs="Arial"/>
        </w:rPr>
        <w:t xml:space="preserve"> </w:t>
      </w:r>
      <w:r w:rsidR="006F1A3A">
        <w:rPr>
          <w:rFonts w:ascii="Arial" w:hAnsi="Arial" w:cs="Arial"/>
        </w:rPr>
        <w:t xml:space="preserve">confidentiality and being </w:t>
      </w:r>
      <w:r w:rsidR="001301F7" w:rsidRPr="00706CD3">
        <w:rPr>
          <w:rFonts w:ascii="Arial" w:hAnsi="Arial" w:cs="Arial"/>
        </w:rPr>
        <w:t>treated with respect and without judgement by service providers</w:t>
      </w:r>
      <w:r w:rsidR="001301F7">
        <w:rPr>
          <w:rFonts w:ascii="Arial" w:hAnsi="Arial" w:cs="Arial"/>
        </w:rPr>
        <w:t>.</w:t>
      </w:r>
      <w:r w:rsidR="001301F7" w:rsidRPr="00706CD3">
        <w:rPr>
          <w:rStyle w:val="FootnoteReference"/>
          <w:rFonts w:ascii="Arial" w:hAnsi="Arial" w:cs="Arial"/>
        </w:rPr>
        <w:footnoteReference w:id="156"/>
      </w:r>
      <w:r w:rsidR="001301F7" w:rsidRPr="00706CD3">
        <w:rPr>
          <w:rFonts w:ascii="Arial" w:hAnsi="Arial" w:cs="Arial"/>
        </w:rPr>
        <w:t xml:space="preserve"> </w:t>
      </w:r>
    </w:p>
    <w:p w14:paraId="015615CC" w14:textId="63943890" w:rsidR="5228AB01" w:rsidRDefault="5228AB01" w:rsidP="008802A1">
      <w:pPr>
        <w:spacing w:after="120" w:line="276" w:lineRule="auto"/>
        <w:jc w:val="both"/>
        <w:rPr>
          <w:rFonts w:ascii="Arial" w:hAnsi="Arial" w:cs="Arial"/>
        </w:rPr>
      </w:pPr>
      <w:r w:rsidRPr="717D599A">
        <w:rPr>
          <w:rFonts w:ascii="Arial" w:hAnsi="Arial" w:cs="Arial"/>
        </w:rPr>
        <w:t>A youth friendly service shoul</w:t>
      </w:r>
      <w:r w:rsidR="22464B31" w:rsidRPr="717D599A">
        <w:rPr>
          <w:rFonts w:ascii="Arial" w:hAnsi="Arial" w:cs="Arial"/>
        </w:rPr>
        <w:t>d aim to</w:t>
      </w:r>
      <w:r w:rsidRPr="717D599A">
        <w:rPr>
          <w:rFonts w:ascii="Arial" w:hAnsi="Arial" w:cs="Arial"/>
        </w:rPr>
        <w:t xml:space="preserve"> (but not limited</w:t>
      </w:r>
      <w:r w:rsidR="5BFF4B4A" w:rsidRPr="717D599A">
        <w:rPr>
          <w:rFonts w:ascii="Arial" w:hAnsi="Arial" w:cs="Arial"/>
        </w:rPr>
        <w:t xml:space="preserve"> to</w:t>
      </w:r>
      <w:r w:rsidRPr="717D599A">
        <w:rPr>
          <w:rFonts w:ascii="Arial" w:hAnsi="Arial" w:cs="Arial"/>
        </w:rPr>
        <w:t>)</w:t>
      </w:r>
      <w:r w:rsidR="01E9D703" w:rsidRPr="717D599A">
        <w:rPr>
          <w:rFonts w:ascii="Arial" w:hAnsi="Arial" w:cs="Arial"/>
        </w:rPr>
        <w:t xml:space="preserve">: </w:t>
      </w:r>
    </w:p>
    <w:p w14:paraId="3E625D84" w14:textId="4CEEFCD0" w:rsidR="5228AB01" w:rsidRDefault="0BA88497" w:rsidP="008802A1">
      <w:pPr>
        <w:pStyle w:val="ListParagraph"/>
        <w:numPr>
          <w:ilvl w:val="0"/>
          <w:numId w:val="34"/>
        </w:numPr>
        <w:spacing w:after="120" w:line="276" w:lineRule="auto"/>
        <w:contextualSpacing w:val="0"/>
        <w:jc w:val="both"/>
        <w:rPr>
          <w:rFonts w:eastAsiaTheme="minorEastAsia"/>
        </w:rPr>
      </w:pPr>
      <w:r w:rsidRPr="717D599A">
        <w:rPr>
          <w:rFonts w:ascii="Arial" w:hAnsi="Arial" w:cs="Arial"/>
        </w:rPr>
        <w:t>e</w:t>
      </w:r>
      <w:r w:rsidR="5228AB01" w:rsidRPr="717D599A">
        <w:rPr>
          <w:rFonts w:ascii="Arial" w:hAnsi="Arial" w:cs="Arial"/>
        </w:rPr>
        <w:t>nsure confidentiality</w:t>
      </w:r>
    </w:p>
    <w:p w14:paraId="67F7530C" w14:textId="6BAB0CDD" w:rsidR="5228AB01" w:rsidRDefault="324A1AD6" w:rsidP="008802A1">
      <w:pPr>
        <w:pStyle w:val="ListParagraph"/>
        <w:numPr>
          <w:ilvl w:val="0"/>
          <w:numId w:val="34"/>
        </w:numPr>
        <w:spacing w:after="120" w:line="276" w:lineRule="auto"/>
        <w:contextualSpacing w:val="0"/>
        <w:jc w:val="both"/>
        <w:rPr>
          <w:rFonts w:eastAsiaTheme="minorEastAsia"/>
        </w:rPr>
      </w:pPr>
      <w:r w:rsidRPr="00BF2880">
        <w:rPr>
          <w:rFonts w:ascii="Arial" w:hAnsi="Arial" w:cs="Arial"/>
        </w:rPr>
        <w:lastRenderedPageBreak/>
        <w:t>e</w:t>
      </w:r>
      <w:r w:rsidR="5228AB01" w:rsidRPr="00BF2880">
        <w:rPr>
          <w:rFonts w:ascii="Arial" w:hAnsi="Arial" w:cs="Arial"/>
        </w:rPr>
        <w:t>nsure</w:t>
      </w:r>
      <w:r w:rsidR="5228AB01" w:rsidRPr="15EB894D">
        <w:rPr>
          <w:rFonts w:ascii="Arial" w:hAnsi="Arial" w:cs="Arial"/>
        </w:rPr>
        <w:t xml:space="preserve"> com</w:t>
      </w:r>
      <w:r w:rsidR="5228AB01" w:rsidRPr="2880376A">
        <w:rPr>
          <w:rFonts w:ascii="Arial" w:hAnsi="Arial" w:cs="Arial"/>
        </w:rPr>
        <w:t>munication is non</w:t>
      </w:r>
      <w:r w:rsidR="295F857F" w:rsidRPr="66736F34">
        <w:rPr>
          <w:rFonts w:ascii="Arial" w:hAnsi="Arial" w:cs="Arial"/>
        </w:rPr>
        <w:t>-</w:t>
      </w:r>
      <w:r w:rsidR="5228AB01" w:rsidRPr="2880376A">
        <w:rPr>
          <w:rFonts w:ascii="Arial" w:hAnsi="Arial" w:cs="Arial"/>
        </w:rPr>
        <w:t>judgemental</w:t>
      </w:r>
    </w:p>
    <w:p w14:paraId="137FE7E1" w14:textId="62A23FF3" w:rsidR="5228AB01" w:rsidRDefault="0664C7E6" w:rsidP="008802A1">
      <w:pPr>
        <w:pStyle w:val="ListParagraph"/>
        <w:numPr>
          <w:ilvl w:val="0"/>
          <w:numId w:val="34"/>
        </w:numPr>
        <w:spacing w:after="120" w:line="276" w:lineRule="auto"/>
        <w:contextualSpacing w:val="0"/>
        <w:jc w:val="both"/>
        <w:rPr>
          <w:rFonts w:eastAsiaTheme="minorEastAsia"/>
        </w:rPr>
      </w:pPr>
      <w:r w:rsidRPr="00BF2880">
        <w:rPr>
          <w:rFonts w:ascii="Arial" w:hAnsi="Arial" w:cs="Arial"/>
        </w:rPr>
        <w:t>b</w:t>
      </w:r>
      <w:r w:rsidR="5108AA54" w:rsidRPr="00BF2880">
        <w:rPr>
          <w:rFonts w:ascii="Arial" w:hAnsi="Arial" w:cs="Arial"/>
        </w:rPr>
        <w:t>e</w:t>
      </w:r>
      <w:r w:rsidR="5108AA54" w:rsidRPr="3FF1404F">
        <w:rPr>
          <w:rFonts w:ascii="Arial" w:hAnsi="Arial" w:cs="Arial"/>
        </w:rPr>
        <w:t xml:space="preserve"> </w:t>
      </w:r>
      <w:r w:rsidR="5108AA54" w:rsidRPr="208E4DE2">
        <w:rPr>
          <w:rFonts w:ascii="Arial" w:hAnsi="Arial" w:cs="Arial"/>
        </w:rPr>
        <w:t>i</w:t>
      </w:r>
      <w:r w:rsidR="5228AB01" w:rsidRPr="208E4DE2">
        <w:rPr>
          <w:rFonts w:ascii="Arial" w:hAnsi="Arial" w:cs="Arial"/>
        </w:rPr>
        <w:t>nclusive</w:t>
      </w:r>
      <w:r w:rsidR="5228AB01" w:rsidRPr="2880376A">
        <w:rPr>
          <w:rFonts w:ascii="Arial" w:hAnsi="Arial" w:cs="Arial"/>
        </w:rPr>
        <w:t xml:space="preserve"> and respectful of diverse gender, sexual and cultural identities</w:t>
      </w:r>
    </w:p>
    <w:p w14:paraId="61405B2A" w14:textId="29E7E68D" w:rsidR="5228AB01" w:rsidRDefault="003D26A8" w:rsidP="008802A1">
      <w:pPr>
        <w:pStyle w:val="ListParagraph"/>
        <w:numPr>
          <w:ilvl w:val="0"/>
          <w:numId w:val="34"/>
        </w:numPr>
        <w:spacing w:after="120" w:line="276" w:lineRule="auto"/>
        <w:contextualSpacing w:val="0"/>
        <w:jc w:val="both"/>
        <w:rPr>
          <w:rFonts w:eastAsiaTheme="minorEastAsia"/>
        </w:rPr>
      </w:pPr>
      <w:r>
        <w:rPr>
          <w:rFonts w:ascii="Arial" w:hAnsi="Arial" w:cs="Arial"/>
        </w:rPr>
        <w:t>provide</w:t>
      </w:r>
      <w:r w:rsidR="60389FA5" w:rsidRPr="41412955">
        <w:rPr>
          <w:rFonts w:ascii="Arial" w:hAnsi="Arial" w:cs="Arial"/>
        </w:rPr>
        <w:t xml:space="preserve"> f</w:t>
      </w:r>
      <w:r w:rsidR="5228AB01" w:rsidRPr="41412955">
        <w:rPr>
          <w:rFonts w:ascii="Arial" w:hAnsi="Arial" w:cs="Arial"/>
        </w:rPr>
        <w:t>ree</w:t>
      </w:r>
      <w:r w:rsidR="5228AB01" w:rsidRPr="2880376A">
        <w:rPr>
          <w:rFonts w:ascii="Arial" w:hAnsi="Arial" w:cs="Arial"/>
        </w:rPr>
        <w:t xml:space="preserve"> or low</w:t>
      </w:r>
      <w:r w:rsidR="5F6F552F" w:rsidRPr="7AEFD50D">
        <w:rPr>
          <w:rFonts w:ascii="Arial" w:hAnsi="Arial" w:cs="Arial"/>
        </w:rPr>
        <w:t>-</w:t>
      </w:r>
      <w:r w:rsidR="5228AB01" w:rsidRPr="2880376A">
        <w:rPr>
          <w:rFonts w:ascii="Arial" w:hAnsi="Arial" w:cs="Arial"/>
        </w:rPr>
        <w:t>cost services</w:t>
      </w:r>
    </w:p>
    <w:p w14:paraId="73B30CB2" w14:textId="37825CE0" w:rsidR="5228AB01" w:rsidRDefault="003D26A8" w:rsidP="008802A1">
      <w:pPr>
        <w:pStyle w:val="ListParagraph"/>
        <w:numPr>
          <w:ilvl w:val="0"/>
          <w:numId w:val="34"/>
        </w:numPr>
        <w:spacing w:after="120" w:line="276" w:lineRule="auto"/>
        <w:contextualSpacing w:val="0"/>
        <w:jc w:val="both"/>
        <w:rPr>
          <w:rFonts w:eastAsiaTheme="minorEastAsia"/>
        </w:rPr>
      </w:pPr>
      <w:r>
        <w:rPr>
          <w:rFonts w:ascii="Arial" w:hAnsi="Arial" w:cs="Arial"/>
        </w:rPr>
        <w:t>e</w:t>
      </w:r>
      <w:r w:rsidR="5228AB01" w:rsidRPr="2880376A">
        <w:rPr>
          <w:rFonts w:ascii="Arial" w:hAnsi="Arial" w:cs="Arial"/>
        </w:rPr>
        <w:t xml:space="preserve">nsure </w:t>
      </w:r>
      <w:r w:rsidR="5228AB01" w:rsidRPr="2276059E">
        <w:rPr>
          <w:rFonts w:ascii="Arial" w:hAnsi="Arial" w:cs="Arial"/>
        </w:rPr>
        <w:t>age</w:t>
      </w:r>
      <w:r w:rsidR="797D25AE" w:rsidRPr="2276059E">
        <w:rPr>
          <w:rFonts w:ascii="Arial" w:hAnsi="Arial" w:cs="Arial"/>
        </w:rPr>
        <w:t>-</w:t>
      </w:r>
      <w:r w:rsidR="5228AB01" w:rsidRPr="2276059E">
        <w:rPr>
          <w:rFonts w:ascii="Arial" w:hAnsi="Arial" w:cs="Arial"/>
        </w:rPr>
        <w:t>appropriate</w:t>
      </w:r>
      <w:r w:rsidR="5228AB01" w:rsidRPr="2880376A">
        <w:rPr>
          <w:rFonts w:ascii="Arial" w:hAnsi="Arial" w:cs="Arial"/>
        </w:rPr>
        <w:t xml:space="preserve"> health information is available</w:t>
      </w:r>
    </w:p>
    <w:p w14:paraId="535D2D8A" w14:textId="67FD99BB" w:rsidR="5228AB01" w:rsidRDefault="003D26A8" w:rsidP="008802A1">
      <w:pPr>
        <w:pStyle w:val="ListParagraph"/>
        <w:numPr>
          <w:ilvl w:val="0"/>
          <w:numId w:val="34"/>
        </w:numPr>
        <w:spacing w:after="120" w:line="276" w:lineRule="auto"/>
        <w:contextualSpacing w:val="0"/>
        <w:jc w:val="both"/>
        <w:rPr>
          <w:rFonts w:eastAsiaTheme="minorEastAsia"/>
        </w:rPr>
      </w:pPr>
      <w:r>
        <w:rPr>
          <w:rFonts w:ascii="Arial" w:hAnsi="Arial" w:cs="Arial"/>
        </w:rPr>
        <w:t>a</w:t>
      </w:r>
      <w:r w:rsidR="5228AB01" w:rsidRPr="2880376A">
        <w:rPr>
          <w:rFonts w:ascii="Arial" w:hAnsi="Arial" w:cs="Arial"/>
        </w:rPr>
        <w:t>ddress structural barriers to young people accessing the service</w:t>
      </w:r>
      <w:r w:rsidR="006457DA">
        <w:rPr>
          <w:rFonts w:ascii="Arial" w:hAnsi="Arial" w:cs="Arial"/>
        </w:rPr>
        <w:t>.</w:t>
      </w:r>
      <w:r w:rsidR="00811115">
        <w:rPr>
          <w:rStyle w:val="FootnoteReference"/>
          <w:rFonts w:ascii="Arial" w:hAnsi="Arial" w:cs="Arial"/>
        </w:rPr>
        <w:footnoteReference w:id="157"/>
      </w:r>
    </w:p>
    <w:p w14:paraId="34E18C10" w14:textId="17E625EC" w:rsidR="001301F7" w:rsidRPr="00706CD3" w:rsidRDefault="001301F7" w:rsidP="008802A1">
      <w:pPr>
        <w:spacing w:after="120" w:line="276" w:lineRule="auto"/>
        <w:jc w:val="both"/>
        <w:rPr>
          <w:rFonts w:ascii="Arial" w:hAnsi="Arial" w:cs="Arial"/>
        </w:rPr>
      </w:pPr>
      <w:r w:rsidRPr="717D599A">
        <w:rPr>
          <w:rFonts w:ascii="Arial" w:hAnsi="Arial" w:cs="Arial"/>
        </w:rPr>
        <w:t xml:space="preserve">A consultation with young people on their sexual and reproductive health needs led by </w:t>
      </w:r>
      <w:r w:rsidRPr="717D599A">
        <w:rPr>
          <w:rFonts w:ascii="Arial" w:hAnsi="Arial" w:cs="Arial"/>
          <w:i/>
          <w:iCs/>
        </w:rPr>
        <w:t>1800 My Options</w:t>
      </w:r>
      <w:r w:rsidRPr="717D599A">
        <w:rPr>
          <w:rFonts w:ascii="Arial" w:hAnsi="Arial" w:cs="Arial"/>
        </w:rPr>
        <w:t xml:space="preserve"> found that services that demonstrated inclusivity of diverse populations, </w:t>
      </w:r>
      <w:r w:rsidR="0057646F" w:rsidRPr="717D599A">
        <w:rPr>
          <w:rFonts w:ascii="Arial" w:hAnsi="Arial" w:cs="Arial"/>
        </w:rPr>
        <w:t>for example by</w:t>
      </w:r>
      <w:r w:rsidRPr="717D599A">
        <w:rPr>
          <w:rFonts w:ascii="Arial" w:hAnsi="Arial" w:cs="Arial"/>
        </w:rPr>
        <w:t xml:space="preserve"> display</w:t>
      </w:r>
      <w:r w:rsidR="0057646F" w:rsidRPr="717D599A">
        <w:rPr>
          <w:rFonts w:ascii="Arial" w:hAnsi="Arial" w:cs="Arial"/>
        </w:rPr>
        <w:t>ing</w:t>
      </w:r>
      <w:r w:rsidRPr="717D599A">
        <w:rPr>
          <w:rFonts w:ascii="Arial" w:hAnsi="Arial" w:cs="Arial"/>
        </w:rPr>
        <w:t xml:space="preserve"> the rainbow and Aboriginal flag</w:t>
      </w:r>
      <w:r w:rsidR="0057646F" w:rsidRPr="717D599A">
        <w:rPr>
          <w:rFonts w:ascii="Arial" w:hAnsi="Arial" w:cs="Arial"/>
        </w:rPr>
        <w:t>s</w:t>
      </w:r>
      <w:r w:rsidRPr="717D599A">
        <w:rPr>
          <w:rFonts w:ascii="Arial" w:hAnsi="Arial" w:cs="Arial"/>
        </w:rPr>
        <w:t xml:space="preserve"> on the premise</w:t>
      </w:r>
      <w:r w:rsidR="0057646F" w:rsidRPr="717D599A">
        <w:rPr>
          <w:rFonts w:ascii="Arial" w:hAnsi="Arial" w:cs="Arial"/>
        </w:rPr>
        <w:t>s</w:t>
      </w:r>
      <w:r w:rsidRPr="717D599A">
        <w:rPr>
          <w:rFonts w:ascii="Arial" w:hAnsi="Arial" w:cs="Arial"/>
        </w:rPr>
        <w:t>, were seen as being more youth friendly.</w:t>
      </w:r>
    </w:p>
    <w:p w14:paraId="2DE1C558" w14:textId="7D563B0D" w:rsidR="001301F7" w:rsidRPr="00706CD3" w:rsidRDefault="001301F7" w:rsidP="008802A1">
      <w:pPr>
        <w:spacing w:after="120" w:line="276" w:lineRule="auto"/>
        <w:jc w:val="both"/>
        <w:rPr>
          <w:rFonts w:ascii="Arial" w:hAnsi="Arial" w:cs="Arial"/>
        </w:rPr>
      </w:pPr>
      <w:r w:rsidRPr="00706CD3">
        <w:rPr>
          <w:rFonts w:ascii="Arial" w:hAnsi="Arial" w:cs="Arial"/>
        </w:rPr>
        <w:t>Youth friendly services in Victoria should at</w:t>
      </w:r>
      <w:r w:rsidR="000C7B16">
        <w:rPr>
          <w:rFonts w:ascii="Arial" w:hAnsi="Arial" w:cs="Arial"/>
        </w:rPr>
        <w:t xml:space="preserve"> a</w:t>
      </w:r>
      <w:r w:rsidRPr="00706CD3">
        <w:rPr>
          <w:rFonts w:ascii="Arial" w:hAnsi="Arial" w:cs="Arial"/>
        </w:rPr>
        <w:t xml:space="preserve"> minimum focus on: </w:t>
      </w:r>
    </w:p>
    <w:p w14:paraId="495C975C" w14:textId="5F9EE341" w:rsidR="001301F7" w:rsidRPr="00706CD3" w:rsidRDefault="006457DA" w:rsidP="008802A1">
      <w:pPr>
        <w:pStyle w:val="ListParagraph"/>
        <w:numPr>
          <w:ilvl w:val="0"/>
          <w:numId w:val="2"/>
        </w:numPr>
        <w:spacing w:after="120" w:line="276" w:lineRule="auto"/>
        <w:contextualSpacing w:val="0"/>
        <w:jc w:val="both"/>
        <w:rPr>
          <w:rFonts w:ascii="Arial" w:hAnsi="Arial" w:cs="Arial"/>
        </w:rPr>
      </w:pPr>
      <w:r>
        <w:rPr>
          <w:rFonts w:ascii="Arial" w:hAnsi="Arial" w:cs="Arial"/>
        </w:rPr>
        <w:t>i</w:t>
      </w:r>
      <w:r w:rsidR="001301F7" w:rsidRPr="00706CD3">
        <w:rPr>
          <w:rFonts w:ascii="Arial" w:hAnsi="Arial" w:cs="Arial"/>
        </w:rPr>
        <w:t>ncreasing health practitioner understanding of youth needs including the importance of non-judgmental attitudes</w:t>
      </w:r>
      <w:r w:rsidR="000C7B16">
        <w:rPr>
          <w:rFonts w:ascii="Arial" w:hAnsi="Arial" w:cs="Arial"/>
        </w:rPr>
        <w:t xml:space="preserve"> for all health service staff</w:t>
      </w:r>
      <w:r>
        <w:rPr>
          <w:rFonts w:ascii="Arial" w:hAnsi="Arial" w:cs="Arial"/>
        </w:rPr>
        <w:t>, and</w:t>
      </w:r>
      <w:r w:rsidR="001301F7" w:rsidRPr="00706CD3">
        <w:rPr>
          <w:rFonts w:ascii="Arial" w:hAnsi="Arial" w:cs="Arial"/>
        </w:rPr>
        <w:t xml:space="preserve"> </w:t>
      </w:r>
    </w:p>
    <w:p w14:paraId="00278ED3" w14:textId="2773A371" w:rsidR="001301F7" w:rsidRPr="00706CD3" w:rsidRDefault="006457DA" w:rsidP="008802A1">
      <w:pPr>
        <w:pStyle w:val="ListParagraph"/>
        <w:numPr>
          <w:ilvl w:val="0"/>
          <w:numId w:val="2"/>
        </w:numPr>
        <w:spacing w:after="120" w:line="276" w:lineRule="auto"/>
        <w:contextualSpacing w:val="0"/>
        <w:jc w:val="both"/>
        <w:rPr>
          <w:rFonts w:ascii="Arial" w:hAnsi="Arial" w:cs="Arial"/>
        </w:rPr>
      </w:pPr>
      <w:r>
        <w:rPr>
          <w:rFonts w:ascii="Arial" w:hAnsi="Arial" w:cs="Arial"/>
        </w:rPr>
        <w:t>e</w:t>
      </w:r>
      <w:r w:rsidR="001301F7" w:rsidRPr="00706CD3">
        <w:rPr>
          <w:rFonts w:ascii="Arial" w:hAnsi="Arial" w:cs="Arial"/>
        </w:rPr>
        <w:t>nsuring accessibility, affordability and inclusiveness of information and services for all young people</w:t>
      </w:r>
      <w:r>
        <w:rPr>
          <w:rFonts w:ascii="Arial" w:hAnsi="Arial" w:cs="Arial"/>
        </w:rPr>
        <w:t>,</w:t>
      </w:r>
      <w:r w:rsidR="001301F7" w:rsidRPr="00706CD3">
        <w:rPr>
          <w:rFonts w:ascii="Arial" w:hAnsi="Arial" w:cs="Arial"/>
        </w:rPr>
        <w:t xml:space="preserve"> including those with diverse gender identities and sexual orientations, Aboriginal and Torres Strait Islander </w:t>
      </w:r>
      <w:r w:rsidR="000C7B16">
        <w:rPr>
          <w:rFonts w:ascii="Arial" w:hAnsi="Arial" w:cs="Arial"/>
        </w:rPr>
        <w:t>y</w:t>
      </w:r>
      <w:r w:rsidR="001301F7" w:rsidRPr="00706CD3">
        <w:rPr>
          <w:rFonts w:ascii="Arial" w:hAnsi="Arial" w:cs="Arial"/>
        </w:rPr>
        <w:t xml:space="preserve">oung </w:t>
      </w:r>
      <w:r w:rsidR="000C7B16">
        <w:rPr>
          <w:rFonts w:ascii="Arial" w:hAnsi="Arial" w:cs="Arial"/>
        </w:rPr>
        <w:t>p</w:t>
      </w:r>
      <w:r w:rsidR="001301F7" w:rsidRPr="00706CD3">
        <w:rPr>
          <w:rFonts w:ascii="Arial" w:hAnsi="Arial" w:cs="Arial"/>
        </w:rPr>
        <w:t>eople, those with a disability</w:t>
      </w:r>
      <w:r w:rsidR="000C7B16">
        <w:rPr>
          <w:rFonts w:ascii="Arial" w:hAnsi="Arial" w:cs="Arial"/>
        </w:rPr>
        <w:t>,</w:t>
      </w:r>
      <w:r w:rsidR="001301F7" w:rsidRPr="00706CD3">
        <w:rPr>
          <w:rFonts w:ascii="Arial" w:hAnsi="Arial" w:cs="Arial"/>
        </w:rPr>
        <w:t xml:space="preserve"> and migrant and refugee </w:t>
      </w:r>
      <w:r w:rsidR="000C7B16">
        <w:rPr>
          <w:rFonts w:ascii="Arial" w:hAnsi="Arial" w:cs="Arial"/>
        </w:rPr>
        <w:t>young people</w:t>
      </w:r>
      <w:r w:rsidR="001301F7" w:rsidRPr="00706CD3">
        <w:rPr>
          <w:rFonts w:ascii="Arial" w:hAnsi="Arial" w:cs="Arial"/>
        </w:rPr>
        <w:t xml:space="preserve">. </w:t>
      </w:r>
    </w:p>
    <w:p w14:paraId="2C6795BB" w14:textId="66500299" w:rsidR="001301F7" w:rsidRPr="000C7B16" w:rsidRDefault="000C7B16" w:rsidP="008802A1">
      <w:pPr>
        <w:spacing w:after="120" w:line="276" w:lineRule="auto"/>
        <w:jc w:val="both"/>
        <w:rPr>
          <w:rFonts w:ascii="Arial" w:hAnsi="Arial" w:cs="Arial"/>
        </w:rPr>
      </w:pPr>
      <w:r>
        <w:rPr>
          <w:rFonts w:ascii="Arial" w:hAnsi="Arial" w:cs="Arial"/>
        </w:rPr>
        <w:t>It is also important to e</w:t>
      </w:r>
      <w:r w:rsidR="001301F7" w:rsidRPr="000C7B16">
        <w:rPr>
          <w:rFonts w:ascii="Arial" w:hAnsi="Arial" w:cs="Arial"/>
        </w:rPr>
        <w:t>nsur</w:t>
      </w:r>
      <w:r>
        <w:rPr>
          <w:rFonts w:ascii="Arial" w:hAnsi="Arial" w:cs="Arial"/>
        </w:rPr>
        <w:t>e</w:t>
      </w:r>
      <w:r w:rsidR="001301F7" w:rsidRPr="000C7B16">
        <w:rPr>
          <w:rFonts w:ascii="Arial" w:hAnsi="Arial" w:cs="Arial"/>
        </w:rPr>
        <w:t xml:space="preserve"> sexual and reproductive health services that are appropriate for young people are available in all regions. </w:t>
      </w:r>
      <w:r w:rsidRPr="000C7B16">
        <w:rPr>
          <w:rFonts w:ascii="Arial" w:hAnsi="Arial" w:cs="Arial"/>
        </w:rPr>
        <w:t>T</w:t>
      </w:r>
      <w:r w:rsidR="001301F7" w:rsidRPr="000C7B16">
        <w:rPr>
          <w:rFonts w:ascii="Arial" w:hAnsi="Arial" w:cs="Arial"/>
        </w:rPr>
        <w:t xml:space="preserve">his could include ensuring the Doctors in Secondary Schools program </w:t>
      </w:r>
      <w:r w:rsidRPr="000C7B16">
        <w:rPr>
          <w:rFonts w:ascii="Arial" w:hAnsi="Arial" w:cs="Arial"/>
        </w:rPr>
        <w:t>i</w:t>
      </w:r>
      <w:r w:rsidR="001301F7" w:rsidRPr="000C7B16">
        <w:rPr>
          <w:rFonts w:ascii="Arial" w:hAnsi="Arial" w:cs="Arial"/>
        </w:rPr>
        <w:t>s available in all regional and rural schools</w:t>
      </w:r>
      <w:r w:rsidRPr="000C7B16">
        <w:rPr>
          <w:rFonts w:ascii="Arial" w:hAnsi="Arial" w:cs="Arial"/>
        </w:rPr>
        <w:t>, as well as</w:t>
      </w:r>
      <w:r>
        <w:rPr>
          <w:rFonts w:ascii="Arial" w:hAnsi="Arial" w:cs="Arial"/>
        </w:rPr>
        <w:t xml:space="preserve"> out-of-school options, recognising that not all young people are engaged in (school) education or will want to engage with school-based options.</w:t>
      </w:r>
    </w:p>
    <w:p w14:paraId="799F0EA7" w14:textId="67CD14DB" w:rsidR="00F54E1C" w:rsidRPr="00044BFB" w:rsidRDefault="00F54E1C" w:rsidP="008802A1">
      <w:pPr>
        <w:pStyle w:val="Heading2"/>
        <w:spacing w:before="0" w:after="120" w:line="276" w:lineRule="auto"/>
        <w:jc w:val="both"/>
        <w:rPr>
          <w:b/>
          <w:bCs/>
        </w:rPr>
      </w:pPr>
      <w:bookmarkStart w:id="45" w:name="_Toc59045889"/>
      <w:r w:rsidRPr="00044BFB">
        <w:rPr>
          <w:b/>
          <w:bCs/>
        </w:rPr>
        <w:t xml:space="preserve">Recommendations </w:t>
      </w:r>
      <w:r w:rsidR="00107496" w:rsidRPr="00044BFB">
        <w:rPr>
          <w:b/>
          <w:bCs/>
        </w:rPr>
        <w:t xml:space="preserve">to improve young </w:t>
      </w:r>
      <w:r w:rsidR="00E93B38" w:rsidRPr="00044BFB">
        <w:rPr>
          <w:b/>
          <w:bCs/>
        </w:rPr>
        <w:t>people’s</w:t>
      </w:r>
      <w:r w:rsidR="00107496" w:rsidRPr="00044BFB">
        <w:rPr>
          <w:b/>
          <w:bCs/>
        </w:rPr>
        <w:t xml:space="preserve"> sexual and reproductive health</w:t>
      </w:r>
      <w:bookmarkEnd w:id="45"/>
      <w:r w:rsidR="00107496" w:rsidRPr="00044BFB">
        <w:rPr>
          <w:b/>
          <w:bCs/>
        </w:rPr>
        <w:t xml:space="preserve"> </w:t>
      </w:r>
    </w:p>
    <w:p w14:paraId="1120F316" w14:textId="74BEE1B4" w:rsidR="00255105" w:rsidRPr="00706CD3" w:rsidRDefault="000C7B16" w:rsidP="008802A1">
      <w:pPr>
        <w:spacing w:after="120" w:line="276" w:lineRule="auto"/>
        <w:jc w:val="both"/>
        <w:rPr>
          <w:rFonts w:ascii="Arial" w:hAnsi="Arial" w:cs="Arial"/>
          <w:color w:val="ED7D31" w:themeColor="accent2"/>
        </w:rPr>
      </w:pPr>
      <w:r>
        <w:rPr>
          <w:rFonts w:ascii="Arial" w:hAnsi="Arial" w:cs="Arial"/>
          <w:color w:val="ED7D31" w:themeColor="accent2"/>
        </w:rPr>
        <w:t xml:space="preserve">Recommendation </w:t>
      </w:r>
      <w:r w:rsidR="000C5939">
        <w:rPr>
          <w:rFonts w:ascii="Arial" w:hAnsi="Arial" w:cs="Arial"/>
          <w:color w:val="ED7D31" w:themeColor="accent2"/>
        </w:rPr>
        <w:t>8</w:t>
      </w:r>
      <w:r>
        <w:rPr>
          <w:rFonts w:ascii="Arial" w:hAnsi="Arial" w:cs="Arial"/>
          <w:color w:val="ED7D31" w:themeColor="accent2"/>
        </w:rPr>
        <w:t xml:space="preserve">: </w:t>
      </w:r>
      <w:r w:rsidR="006B08A4" w:rsidRPr="006B08A4">
        <w:rPr>
          <w:rFonts w:ascii="Arial" w:hAnsi="Arial" w:cs="Arial"/>
          <w:color w:val="ED7D31" w:themeColor="accent2"/>
        </w:rPr>
        <w:t>Invest in an evidence-based approach to comprehensive whole-of-school sexuality and relationships education within Victorian schools</w:t>
      </w:r>
    </w:p>
    <w:p w14:paraId="0D7DAEDF" w14:textId="1F92BE40" w:rsidR="000A1E8A" w:rsidRPr="009B4C1E" w:rsidRDefault="00205E9D" w:rsidP="009B4C1E">
      <w:pPr>
        <w:numPr>
          <w:ilvl w:val="0"/>
          <w:numId w:val="10"/>
        </w:numPr>
        <w:shd w:val="clear" w:color="auto" w:fill="FFFFFF" w:themeFill="background1"/>
        <w:spacing w:before="120" w:after="120" w:line="276" w:lineRule="auto"/>
        <w:jc w:val="both"/>
        <w:rPr>
          <w:rFonts w:ascii="Arial" w:eastAsia="Times New Roman" w:hAnsi="Arial" w:cs="Arial"/>
          <w:lang w:eastAsia="en-AU"/>
        </w:rPr>
      </w:pPr>
      <w:r w:rsidRPr="009B4C1E">
        <w:rPr>
          <w:rFonts w:ascii="Arial" w:eastAsia="Times New Roman" w:hAnsi="Arial" w:cs="Arial"/>
          <w:lang w:eastAsia="en-AU"/>
        </w:rPr>
        <w:t xml:space="preserve">Review the current approach to sexuality and relationships education taken by schools across Victoria to </w:t>
      </w:r>
      <w:r w:rsidR="006457DA" w:rsidRPr="009B4C1E">
        <w:rPr>
          <w:rFonts w:ascii="Arial" w:eastAsia="Times New Roman" w:hAnsi="Arial" w:cs="Arial"/>
          <w:lang w:eastAsia="en-AU"/>
        </w:rPr>
        <w:t>identify</w:t>
      </w:r>
      <w:r w:rsidRPr="009B4C1E">
        <w:rPr>
          <w:rFonts w:ascii="Arial" w:eastAsia="Times New Roman" w:hAnsi="Arial" w:cs="Arial"/>
          <w:lang w:eastAsia="en-AU"/>
        </w:rPr>
        <w:t xml:space="preserve"> the components that are not being consistently taught</w:t>
      </w:r>
      <w:r w:rsidR="000A1E8A" w:rsidRPr="009B4C1E">
        <w:rPr>
          <w:rFonts w:ascii="Arial" w:eastAsia="Times New Roman" w:hAnsi="Arial" w:cs="Arial"/>
          <w:lang w:eastAsia="en-AU"/>
        </w:rPr>
        <w:t>.</w:t>
      </w:r>
      <w:r w:rsidR="006457DA" w:rsidRPr="009B4C1E">
        <w:rPr>
          <w:rFonts w:ascii="Arial" w:eastAsia="Times New Roman" w:hAnsi="Arial" w:cs="Arial"/>
          <w:lang w:eastAsia="en-AU"/>
        </w:rPr>
        <w:t xml:space="preserve"> </w:t>
      </w:r>
    </w:p>
    <w:p w14:paraId="1A577CB4" w14:textId="10E28712" w:rsidR="00205E9D" w:rsidRPr="009B4C1E" w:rsidRDefault="000A1E8A" w:rsidP="009B4C1E">
      <w:pPr>
        <w:numPr>
          <w:ilvl w:val="0"/>
          <w:numId w:val="10"/>
        </w:numPr>
        <w:shd w:val="clear" w:color="auto" w:fill="FFFFFF" w:themeFill="background1"/>
        <w:spacing w:before="120" w:after="120" w:line="276" w:lineRule="auto"/>
        <w:jc w:val="both"/>
        <w:rPr>
          <w:rFonts w:ascii="Arial" w:eastAsia="Times New Roman" w:hAnsi="Arial" w:cs="Arial"/>
          <w:lang w:eastAsia="en-AU"/>
        </w:rPr>
      </w:pPr>
      <w:r w:rsidRPr="009B4C1E">
        <w:rPr>
          <w:rFonts w:ascii="Arial" w:eastAsia="Times New Roman" w:hAnsi="Arial" w:cs="Arial"/>
          <w:lang w:eastAsia="en-AU"/>
        </w:rPr>
        <w:t xml:space="preserve">Provide greater curriculum guidance to schools </w:t>
      </w:r>
      <w:r w:rsidR="006457DA" w:rsidRPr="009B4C1E">
        <w:rPr>
          <w:rFonts w:ascii="Arial" w:eastAsia="Times New Roman" w:hAnsi="Arial" w:cs="Arial"/>
          <w:lang w:eastAsia="en-AU"/>
        </w:rPr>
        <w:t>on</w:t>
      </w:r>
      <w:r w:rsidRPr="009B4C1E">
        <w:rPr>
          <w:rFonts w:ascii="Arial" w:eastAsia="Times New Roman" w:hAnsi="Arial" w:cs="Arial"/>
          <w:lang w:eastAsia="en-AU"/>
        </w:rPr>
        <w:t xml:space="preserve"> </w:t>
      </w:r>
      <w:r w:rsidR="006457DA" w:rsidRPr="009B4C1E">
        <w:rPr>
          <w:rFonts w:ascii="Arial" w:eastAsia="Times New Roman" w:hAnsi="Arial" w:cs="Arial"/>
          <w:lang w:eastAsia="en-AU"/>
        </w:rPr>
        <w:t>s</w:t>
      </w:r>
      <w:r w:rsidRPr="009B4C1E">
        <w:rPr>
          <w:rFonts w:ascii="Arial" w:eastAsia="Times New Roman" w:hAnsi="Arial" w:cs="Arial"/>
          <w:lang w:eastAsia="en-AU"/>
        </w:rPr>
        <w:t xml:space="preserve">exuality and </w:t>
      </w:r>
      <w:r w:rsidR="006457DA" w:rsidRPr="009B4C1E">
        <w:rPr>
          <w:rFonts w:ascii="Arial" w:eastAsia="Times New Roman" w:hAnsi="Arial" w:cs="Arial"/>
          <w:lang w:eastAsia="en-AU"/>
        </w:rPr>
        <w:t>r</w:t>
      </w:r>
      <w:r w:rsidRPr="009B4C1E">
        <w:rPr>
          <w:rFonts w:ascii="Arial" w:eastAsia="Times New Roman" w:hAnsi="Arial" w:cs="Arial"/>
          <w:lang w:eastAsia="en-AU"/>
        </w:rPr>
        <w:t xml:space="preserve">elationships </w:t>
      </w:r>
      <w:r w:rsidR="006457DA" w:rsidRPr="009B4C1E">
        <w:rPr>
          <w:rFonts w:ascii="Arial" w:eastAsia="Times New Roman" w:hAnsi="Arial" w:cs="Arial"/>
          <w:lang w:eastAsia="en-AU"/>
        </w:rPr>
        <w:t>e</w:t>
      </w:r>
      <w:r w:rsidRPr="009B4C1E">
        <w:rPr>
          <w:rFonts w:ascii="Arial" w:eastAsia="Times New Roman" w:hAnsi="Arial" w:cs="Arial"/>
          <w:lang w:eastAsia="en-AU"/>
        </w:rPr>
        <w:t>ducation to increase the number of schools covering the full suite of topics</w:t>
      </w:r>
      <w:r w:rsidR="006457DA" w:rsidRPr="009B4C1E">
        <w:rPr>
          <w:rFonts w:ascii="Arial" w:eastAsia="Times New Roman" w:hAnsi="Arial" w:cs="Arial"/>
          <w:lang w:eastAsia="en-AU"/>
        </w:rPr>
        <w:t>, including: sex and consent; abortion, bodily autonomy and reproductive rights; media literacy including an explicit focus on sexualisation, body image and gender stereotypes in the media and advertising; and healthy masculinities.</w:t>
      </w:r>
    </w:p>
    <w:p w14:paraId="3A71D2F7" w14:textId="137DB034" w:rsidR="00205E9D" w:rsidRPr="009B4C1E" w:rsidRDefault="00205E9D" w:rsidP="009B4C1E">
      <w:pPr>
        <w:numPr>
          <w:ilvl w:val="0"/>
          <w:numId w:val="10"/>
        </w:numPr>
        <w:shd w:val="clear" w:color="auto" w:fill="FFFFFF" w:themeFill="background1"/>
        <w:spacing w:before="120" w:after="120" w:line="276" w:lineRule="auto"/>
        <w:jc w:val="both"/>
        <w:rPr>
          <w:rFonts w:ascii="Arial" w:eastAsia="Times New Roman" w:hAnsi="Arial" w:cs="Arial"/>
          <w:lang w:eastAsia="en-AU"/>
        </w:rPr>
      </w:pPr>
      <w:r w:rsidRPr="009B4C1E">
        <w:rPr>
          <w:rFonts w:ascii="Arial" w:eastAsia="Times New Roman" w:hAnsi="Arial" w:cs="Arial"/>
          <w:lang w:eastAsia="en-AU"/>
        </w:rPr>
        <w:lastRenderedPageBreak/>
        <w:t>Ensure menstruation and pelvic pain education is included within sexuality and relationships education</w:t>
      </w:r>
      <w:r w:rsidR="000A1E8A" w:rsidRPr="009B4C1E">
        <w:rPr>
          <w:rFonts w:ascii="Arial" w:eastAsia="Times New Roman" w:hAnsi="Arial" w:cs="Arial"/>
          <w:lang w:eastAsia="en-AU"/>
        </w:rPr>
        <w:t>.</w:t>
      </w:r>
    </w:p>
    <w:p w14:paraId="015895EE" w14:textId="5A4EE421" w:rsidR="00E5183F" w:rsidRPr="009B4C1E" w:rsidRDefault="00205E9D" w:rsidP="009B4C1E">
      <w:pPr>
        <w:numPr>
          <w:ilvl w:val="0"/>
          <w:numId w:val="10"/>
        </w:numPr>
        <w:shd w:val="clear" w:color="auto" w:fill="FFFFFF" w:themeFill="background1"/>
        <w:spacing w:before="120" w:after="120" w:line="276" w:lineRule="auto"/>
        <w:jc w:val="both"/>
        <w:rPr>
          <w:rFonts w:ascii="Arial" w:eastAsia="Times New Roman" w:hAnsi="Arial" w:cs="Arial"/>
          <w:lang w:eastAsia="en-AU"/>
        </w:rPr>
      </w:pPr>
      <w:r w:rsidRPr="009B4C1E">
        <w:rPr>
          <w:rFonts w:ascii="Arial" w:eastAsia="Times New Roman" w:hAnsi="Arial" w:cs="Arial"/>
          <w:lang w:eastAsia="en-AU"/>
        </w:rPr>
        <w:t>Invest in teacher training</w:t>
      </w:r>
      <w:r w:rsidR="000A1E8A" w:rsidRPr="009B4C1E">
        <w:rPr>
          <w:rFonts w:ascii="Arial" w:eastAsia="Times New Roman" w:hAnsi="Arial" w:cs="Arial"/>
          <w:lang w:eastAsia="en-AU"/>
        </w:rPr>
        <w:t xml:space="preserve"> for</w:t>
      </w:r>
      <w:r w:rsidRPr="009B4C1E">
        <w:rPr>
          <w:rFonts w:ascii="Arial" w:eastAsia="Times New Roman" w:hAnsi="Arial" w:cs="Arial"/>
          <w:lang w:eastAsia="en-AU"/>
        </w:rPr>
        <w:t xml:space="preserve"> sexuality and relationships education to ensure teacher confidence and sustainability</w:t>
      </w:r>
      <w:r w:rsidR="006457DA" w:rsidRPr="009B4C1E">
        <w:rPr>
          <w:rFonts w:ascii="Arial" w:eastAsia="Times New Roman" w:hAnsi="Arial" w:cs="Arial"/>
          <w:lang w:eastAsia="en-AU"/>
        </w:rPr>
        <w:t>.</w:t>
      </w:r>
    </w:p>
    <w:p w14:paraId="6DC29451" w14:textId="5118E943" w:rsidR="0069260D" w:rsidRPr="009B4C1E" w:rsidRDefault="006457DA" w:rsidP="009B4C1E">
      <w:pPr>
        <w:numPr>
          <w:ilvl w:val="0"/>
          <w:numId w:val="10"/>
        </w:numPr>
        <w:shd w:val="clear" w:color="auto" w:fill="FFFFFF" w:themeFill="background1"/>
        <w:spacing w:before="120" w:after="120" w:line="276" w:lineRule="auto"/>
        <w:jc w:val="both"/>
        <w:rPr>
          <w:rFonts w:ascii="Arial" w:eastAsia="Times New Roman" w:hAnsi="Arial" w:cs="Arial"/>
          <w:lang w:eastAsia="en-AU"/>
        </w:rPr>
      </w:pPr>
      <w:r w:rsidRPr="009B4C1E">
        <w:rPr>
          <w:rFonts w:ascii="Arial" w:eastAsia="Times New Roman" w:hAnsi="Arial" w:cs="Arial"/>
          <w:lang w:eastAsia="en-AU"/>
        </w:rPr>
        <w:t>Ensure a</w:t>
      </w:r>
      <w:r w:rsidR="06753FE1" w:rsidRPr="009B4C1E">
        <w:rPr>
          <w:rFonts w:ascii="Arial" w:eastAsia="Times New Roman" w:hAnsi="Arial" w:cs="Arial"/>
          <w:lang w:eastAsia="en-AU"/>
        </w:rPr>
        <w:t xml:space="preserve"> gender and power analysis is applied across all sexual and reproductive health curriculum</w:t>
      </w:r>
      <w:r w:rsidRPr="009B4C1E">
        <w:rPr>
          <w:rFonts w:ascii="Arial" w:eastAsia="Times New Roman" w:hAnsi="Arial" w:cs="Arial"/>
          <w:lang w:eastAsia="en-AU"/>
        </w:rPr>
        <w:t xml:space="preserve"> (e.g.</w:t>
      </w:r>
      <w:r w:rsidR="06753FE1" w:rsidRPr="009B4C1E">
        <w:rPr>
          <w:rFonts w:ascii="Arial" w:eastAsia="Times New Roman" w:hAnsi="Arial" w:cs="Arial"/>
          <w:lang w:eastAsia="en-AU"/>
        </w:rPr>
        <w:t xml:space="preserve"> ensur</w:t>
      </w:r>
      <w:r w:rsidRPr="009B4C1E">
        <w:rPr>
          <w:rFonts w:ascii="Arial" w:eastAsia="Times New Roman" w:hAnsi="Arial" w:cs="Arial"/>
          <w:lang w:eastAsia="en-AU"/>
        </w:rPr>
        <w:t>e</w:t>
      </w:r>
      <w:r w:rsidR="06753FE1" w:rsidRPr="009B4C1E">
        <w:rPr>
          <w:rFonts w:ascii="Arial" w:eastAsia="Times New Roman" w:hAnsi="Arial" w:cs="Arial"/>
          <w:lang w:eastAsia="en-AU"/>
        </w:rPr>
        <w:t xml:space="preserve"> education on contraception unpacks gendered attitudes that assume contraception is the responsibility of women</w:t>
      </w:r>
      <w:r w:rsidRPr="009B4C1E">
        <w:rPr>
          <w:rFonts w:ascii="Arial" w:eastAsia="Times New Roman" w:hAnsi="Arial" w:cs="Arial"/>
          <w:lang w:eastAsia="en-AU"/>
        </w:rPr>
        <w:t>)</w:t>
      </w:r>
      <w:r w:rsidR="06753FE1" w:rsidRPr="009B4C1E">
        <w:rPr>
          <w:rFonts w:ascii="Arial" w:eastAsia="Times New Roman" w:hAnsi="Arial" w:cs="Arial"/>
          <w:lang w:eastAsia="en-AU"/>
        </w:rPr>
        <w:t>.</w:t>
      </w:r>
    </w:p>
    <w:p w14:paraId="2F6A57BB" w14:textId="5C333B9F" w:rsidR="00255105" w:rsidRPr="00706CD3" w:rsidRDefault="00205E9D" w:rsidP="008802A1">
      <w:pPr>
        <w:spacing w:after="120" w:line="276" w:lineRule="auto"/>
        <w:jc w:val="both"/>
        <w:rPr>
          <w:rFonts w:ascii="Arial" w:hAnsi="Arial" w:cs="Arial"/>
          <w:color w:val="ED7D31" w:themeColor="accent2"/>
        </w:rPr>
      </w:pPr>
      <w:r>
        <w:rPr>
          <w:rFonts w:ascii="Arial" w:hAnsi="Arial" w:cs="Arial"/>
          <w:color w:val="ED7D31" w:themeColor="accent2"/>
        </w:rPr>
        <w:t xml:space="preserve">Recommendation </w:t>
      </w:r>
      <w:r w:rsidR="000C5939">
        <w:rPr>
          <w:rFonts w:ascii="Arial" w:hAnsi="Arial" w:cs="Arial"/>
          <w:color w:val="ED7D31" w:themeColor="accent2"/>
        </w:rPr>
        <w:t>9</w:t>
      </w:r>
      <w:r>
        <w:rPr>
          <w:rFonts w:ascii="Arial" w:hAnsi="Arial" w:cs="Arial"/>
          <w:color w:val="ED7D31" w:themeColor="accent2"/>
        </w:rPr>
        <w:t xml:space="preserve">: </w:t>
      </w:r>
      <w:r w:rsidR="002716AE" w:rsidRPr="00706CD3">
        <w:rPr>
          <w:rFonts w:ascii="Arial" w:hAnsi="Arial" w:cs="Arial"/>
          <w:color w:val="ED7D31" w:themeColor="accent2"/>
        </w:rPr>
        <w:t xml:space="preserve">Ensure </w:t>
      </w:r>
      <w:r>
        <w:rPr>
          <w:rFonts w:ascii="Arial" w:hAnsi="Arial" w:cs="Arial"/>
          <w:color w:val="ED7D31" w:themeColor="accent2"/>
        </w:rPr>
        <w:t xml:space="preserve">youth-friendly </w:t>
      </w:r>
      <w:r w:rsidR="002716AE" w:rsidRPr="00706CD3">
        <w:rPr>
          <w:rFonts w:ascii="Arial" w:hAnsi="Arial" w:cs="Arial"/>
          <w:color w:val="ED7D31" w:themeColor="accent2"/>
        </w:rPr>
        <w:t>sexual and reproductive health services are</w:t>
      </w:r>
      <w:r w:rsidR="00E90ABE" w:rsidRPr="00706CD3">
        <w:rPr>
          <w:rFonts w:ascii="Arial" w:hAnsi="Arial" w:cs="Arial"/>
          <w:color w:val="ED7D31" w:themeColor="accent2"/>
        </w:rPr>
        <w:t xml:space="preserve"> available in all regions of Victoria</w:t>
      </w:r>
    </w:p>
    <w:p w14:paraId="5CD2D5C3" w14:textId="35E984F5" w:rsidR="009226AC" w:rsidRPr="009B4C1E" w:rsidRDefault="009226AC" w:rsidP="009B4C1E">
      <w:pPr>
        <w:numPr>
          <w:ilvl w:val="0"/>
          <w:numId w:val="10"/>
        </w:numPr>
        <w:shd w:val="clear" w:color="auto" w:fill="FFFFFF" w:themeFill="background1"/>
        <w:spacing w:before="120" w:after="120" w:line="276" w:lineRule="auto"/>
        <w:jc w:val="both"/>
        <w:rPr>
          <w:rFonts w:ascii="Arial" w:eastAsia="Times New Roman" w:hAnsi="Arial" w:cs="Arial"/>
          <w:lang w:eastAsia="en-AU"/>
        </w:rPr>
      </w:pPr>
      <w:r w:rsidRPr="009B4C1E">
        <w:rPr>
          <w:rFonts w:ascii="Arial" w:eastAsia="Times New Roman" w:hAnsi="Arial" w:cs="Arial"/>
          <w:lang w:eastAsia="en-AU"/>
        </w:rPr>
        <w:t>Ensure young people across Victoria can access affordable, accessible, confidential and non-judgemental contraception and abortion services across Victoria</w:t>
      </w:r>
      <w:r w:rsidR="009B4C1E">
        <w:rPr>
          <w:rFonts w:ascii="Arial" w:eastAsia="Times New Roman" w:hAnsi="Arial" w:cs="Arial"/>
          <w:lang w:eastAsia="en-AU"/>
        </w:rPr>
        <w:t>.</w:t>
      </w:r>
    </w:p>
    <w:p w14:paraId="1B31A0AB" w14:textId="6FCE303E" w:rsidR="009226AC" w:rsidRPr="009B4C1E" w:rsidRDefault="009226AC" w:rsidP="009B4C1E">
      <w:pPr>
        <w:numPr>
          <w:ilvl w:val="0"/>
          <w:numId w:val="10"/>
        </w:numPr>
        <w:shd w:val="clear" w:color="auto" w:fill="FFFFFF" w:themeFill="background1"/>
        <w:spacing w:before="120" w:after="120" w:line="276" w:lineRule="auto"/>
        <w:jc w:val="both"/>
        <w:rPr>
          <w:rFonts w:ascii="Arial" w:eastAsia="Times New Roman" w:hAnsi="Arial" w:cs="Arial"/>
          <w:lang w:eastAsia="en-AU"/>
        </w:rPr>
      </w:pPr>
      <w:r w:rsidRPr="009B4C1E">
        <w:rPr>
          <w:rFonts w:ascii="Arial" w:eastAsia="Times New Roman" w:hAnsi="Arial" w:cs="Arial"/>
          <w:lang w:eastAsia="en-AU"/>
        </w:rPr>
        <w:t>Ensure sexual and reproductive health services for young people are welcoming, inclusive and culturally safe for all young people</w:t>
      </w:r>
      <w:r w:rsidR="00A2473F">
        <w:rPr>
          <w:rFonts w:ascii="Arial" w:eastAsia="Times New Roman" w:hAnsi="Arial" w:cs="Arial"/>
          <w:lang w:eastAsia="en-AU"/>
        </w:rPr>
        <w:t>.</w:t>
      </w:r>
    </w:p>
    <w:p w14:paraId="420D33F0" w14:textId="541DB9FA" w:rsidR="009226AC" w:rsidRPr="009B4C1E" w:rsidRDefault="009226AC" w:rsidP="009B4C1E">
      <w:pPr>
        <w:numPr>
          <w:ilvl w:val="0"/>
          <w:numId w:val="10"/>
        </w:numPr>
        <w:shd w:val="clear" w:color="auto" w:fill="FFFFFF" w:themeFill="background1"/>
        <w:spacing w:before="120" w:after="120" w:line="276" w:lineRule="auto"/>
        <w:jc w:val="both"/>
        <w:rPr>
          <w:rFonts w:ascii="Arial" w:eastAsia="Times New Roman" w:hAnsi="Arial" w:cs="Arial"/>
          <w:lang w:eastAsia="en-AU"/>
        </w:rPr>
      </w:pPr>
      <w:r w:rsidRPr="009B4C1E">
        <w:rPr>
          <w:rFonts w:ascii="Arial" w:eastAsia="Times New Roman" w:hAnsi="Arial" w:cs="Arial"/>
          <w:lang w:eastAsia="en-AU"/>
        </w:rPr>
        <w:t>Invest further in the Doctors in Schools program to ensure it is available in all Victorian secondary schools</w:t>
      </w:r>
      <w:r w:rsidR="00A2473F">
        <w:rPr>
          <w:rFonts w:ascii="Arial" w:eastAsia="Times New Roman" w:hAnsi="Arial" w:cs="Arial"/>
          <w:lang w:eastAsia="en-AU"/>
        </w:rPr>
        <w:t>.</w:t>
      </w:r>
    </w:p>
    <w:p w14:paraId="20F8D002" w14:textId="77777777" w:rsidR="008802A1" w:rsidRDefault="008802A1" w:rsidP="008802A1">
      <w:pPr>
        <w:spacing w:after="120" w:line="276" w:lineRule="auto"/>
        <w:rPr>
          <w:rFonts w:ascii="Arial" w:eastAsiaTheme="majorEastAsia" w:hAnsi="Arial" w:cstheme="majorBidi"/>
          <w:b/>
          <w:color w:val="ED7D31" w:themeColor="accent2"/>
          <w:sz w:val="36"/>
          <w:szCs w:val="32"/>
        </w:rPr>
      </w:pPr>
      <w:r>
        <w:br w:type="page"/>
      </w:r>
    </w:p>
    <w:p w14:paraId="7B8F99D5" w14:textId="3B35FB5C" w:rsidR="004935F4" w:rsidRPr="00014552" w:rsidRDefault="004935F4" w:rsidP="008802A1">
      <w:pPr>
        <w:pStyle w:val="Heading1"/>
        <w:spacing w:before="0" w:after="120" w:line="276" w:lineRule="auto"/>
        <w:jc w:val="both"/>
      </w:pPr>
      <w:bookmarkStart w:id="46" w:name="_Toc59045890"/>
      <w:r w:rsidRPr="00014552">
        <w:lastRenderedPageBreak/>
        <w:t xml:space="preserve">Prevention of violence against women </w:t>
      </w:r>
      <w:bookmarkEnd w:id="46"/>
    </w:p>
    <w:p w14:paraId="3650E01A" w14:textId="7885E913" w:rsidR="000967F2" w:rsidRPr="00205E9D" w:rsidRDefault="000967F2" w:rsidP="006457DA">
      <w:pPr>
        <w:pStyle w:val="Heading2"/>
        <w:spacing w:before="0" w:after="120" w:line="276" w:lineRule="auto"/>
        <w:jc w:val="both"/>
        <w:rPr>
          <w:b/>
          <w:bCs/>
        </w:rPr>
      </w:pPr>
      <w:bookmarkStart w:id="47" w:name="_Toc59045891"/>
      <w:r w:rsidRPr="00205E9D">
        <w:rPr>
          <w:b/>
          <w:bCs/>
        </w:rPr>
        <w:t>Overview</w:t>
      </w:r>
      <w:bookmarkEnd w:id="47"/>
      <w:r w:rsidRPr="00205E9D">
        <w:rPr>
          <w:b/>
          <w:bCs/>
        </w:rPr>
        <w:t xml:space="preserve"> </w:t>
      </w:r>
    </w:p>
    <w:p w14:paraId="05540767" w14:textId="4A5EEF4A" w:rsidR="00973573" w:rsidRDefault="005242BB" w:rsidP="006457DA">
      <w:pPr>
        <w:spacing w:after="120" w:line="276" w:lineRule="auto"/>
        <w:jc w:val="both"/>
        <w:rPr>
          <w:rFonts w:ascii="Arial" w:hAnsi="Arial" w:cs="Arial"/>
        </w:rPr>
      </w:pPr>
      <w:r w:rsidRPr="00014552">
        <w:rPr>
          <w:rFonts w:ascii="Arial" w:hAnsi="Arial" w:cs="Arial"/>
        </w:rPr>
        <w:t xml:space="preserve">WHV </w:t>
      </w:r>
      <w:r w:rsidR="00E23724">
        <w:rPr>
          <w:rFonts w:ascii="Arial" w:hAnsi="Arial" w:cs="Arial"/>
        </w:rPr>
        <w:t xml:space="preserve">welcomes the inclusion of a proposed </w:t>
      </w:r>
      <w:r w:rsidRPr="00014552">
        <w:rPr>
          <w:rFonts w:ascii="Arial" w:hAnsi="Arial" w:cs="Arial"/>
        </w:rPr>
        <w:t xml:space="preserve">outcome </w:t>
      </w:r>
      <w:r w:rsidR="00E23724">
        <w:rPr>
          <w:rFonts w:ascii="Arial" w:hAnsi="Arial" w:cs="Arial"/>
        </w:rPr>
        <w:t>to ensure</w:t>
      </w:r>
      <w:r w:rsidRPr="00014552">
        <w:rPr>
          <w:rFonts w:ascii="Arial" w:hAnsi="Arial" w:cs="Arial"/>
        </w:rPr>
        <w:t xml:space="preserve"> </w:t>
      </w:r>
      <w:r w:rsidRPr="717D599A">
        <w:rPr>
          <w:rFonts w:ascii="Arial" w:hAnsi="Arial" w:cs="Arial"/>
          <w:i/>
          <w:iCs/>
        </w:rPr>
        <w:t>Victorian young people are safe, experience equality of opportunity and are treated fairly</w:t>
      </w:r>
      <w:r w:rsidRPr="00014552">
        <w:rPr>
          <w:rFonts w:ascii="Arial" w:hAnsi="Arial" w:cs="Arial"/>
        </w:rPr>
        <w:t>.</w:t>
      </w:r>
      <w:r w:rsidR="000A74F6" w:rsidRPr="00014552">
        <w:rPr>
          <w:rFonts w:ascii="Arial" w:hAnsi="Arial" w:cs="Arial"/>
        </w:rPr>
        <w:t xml:space="preserve"> </w:t>
      </w:r>
      <w:r w:rsidR="00E23724">
        <w:rPr>
          <w:rFonts w:ascii="Arial" w:hAnsi="Arial" w:cs="Arial"/>
        </w:rPr>
        <w:t>It is essential that the Victorian Youth Strategy</w:t>
      </w:r>
      <w:r w:rsidR="00E23724" w:rsidRPr="00014552">
        <w:rPr>
          <w:rFonts w:ascii="Arial" w:hAnsi="Arial" w:cs="Arial"/>
        </w:rPr>
        <w:t xml:space="preserve"> includes a focus on the prevention of violence against women</w:t>
      </w:r>
      <w:r w:rsidR="00E23724">
        <w:rPr>
          <w:rFonts w:ascii="Arial" w:hAnsi="Arial" w:cs="Arial"/>
        </w:rPr>
        <w:t>, given young women (aged 1</w:t>
      </w:r>
      <w:r w:rsidR="00E23724" w:rsidRPr="00E23724">
        <w:rPr>
          <w:rFonts w:ascii="Arial" w:hAnsi="Arial" w:cs="Arial"/>
        </w:rPr>
        <w:t>8–24 years) experience significantly higher rates of physical and sexual violence than women in older age groups.</w:t>
      </w:r>
      <w:r w:rsidR="00E23724">
        <w:rPr>
          <w:rStyle w:val="FootnoteReference"/>
          <w:rFonts w:ascii="Arial" w:hAnsi="Arial" w:cs="Arial"/>
        </w:rPr>
        <w:footnoteReference w:id="158"/>
      </w:r>
    </w:p>
    <w:p w14:paraId="77B2ED7D" w14:textId="162C86C6" w:rsidR="00E23724" w:rsidRPr="00014552" w:rsidRDefault="00E23724" w:rsidP="006457DA">
      <w:pPr>
        <w:spacing w:after="120" w:line="276" w:lineRule="auto"/>
        <w:jc w:val="both"/>
        <w:rPr>
          <w:rFonts w:ascii="Arial" w:hAnsi="Arial" w:cs="Arial"/>
        </w:rPr>
      </w:pPr>
      <w:r w:rsidRPr="00014552">
        <w:rPr>
          <w:rFonts w:ascii="Arial" w:hAnsi="Arial" w:cs="Arial"/>
        </w:rPr>
        <w:t>An evidence-based approach to prevention of violence against women needs to</w:t>
      </w:r>
      <w:r w:rsidR="00405408">
        <w:rPr>
          <w:rFonts w:ascii="Arial" w:hAnsi="Arial" w:cs="Arial"/>
        </w:rPr>
        <w:t xml:space="preserve"> recognise that gender inequality provides the underlying conditions in which violence against women occurs, and</w:t>
      </w:r>
      <w:r w:rsidRPr="00014552">
        <w:rPr>
          <w:rFonts w:ascii="Arial" w:hAnsi="Arial" w:cs="Arial"/>
        </w:rPr>
        <w:t xml:space="preserve"> address the four gendered drivers of violence against women outlined in</w:t>
      </w:r>
      <w:r w:rsidR="00405408">
        <w:rPr>
          <w:rFonts w:ascii="Arial" w:hAnsi="Arial" w:cs="Arial"/>
        </w:rPr>
        <w:t xml:space="preserve"> the national framework for the prevention of violence against women,</w:t>
      </w:r>
      <w:r w:rsidRPr="00014552">
        <w:rPr>
          <w:rFonts w:ascii="Arial" w:hAnsi="Arial" w:cs="Arial"/>
        </w:rPr>
        <w:t xml:space="preserve"> </w:t>
      </w:r>
      <w:r w:rsidRPr="717D599A">
        <w:rPr>
          <w:rFonts w:ascii="Arial" w:hAnsi="Arial" w:cs="Arial"/>
          <w:i/>
          <w:iCs/>
        </w:rPr>
        <w:t>Change the Story</w:t>
      </w:r>
      <w:r>
        <w:rPr>
          <w:rFonts w:ascii="Arial" w:hAnsi="Arial" w:cs="Arial"/>
        </w:rPr>
        <w:t>:</w:t>
      </w:r>
      <w:r w:rsidRPr="00014552">
        <w:rPr>
          <w:rStyle w:val="FootnoteReference"/>
          <w:rFonts w:ascii="Arial" w:hAnsi="Arial" w:cs="Arial"/>
        </w:rPr>
        <w:footnoteReference w:id="159"/>
      </w:r>
      <w:r w:rsidRPr="00014552">
        <w:rPr>
          <w:rFonts w:ascii="Arial" w:hAnsi="Arial" w:cs="Arial"/>
        </w:rPr>
        <w:t xml:space="preserve"> </w:t>
      </w:r>
    </w:p>
    <w:p w14:paraId="264DCE2C" w14:textId="70AA2F71" w:rsidR="00E23724" w:rsidRPr="00014552" w:rsidRDefault="00E23724" w:rsidP="006457DA">
      <w:pPr>
        <w:pStyle w:val="ListParagraph"/>
        <w:numPr>
          <w:ilvl w:val="0"/>
          <w:numId w:val="3"/>
        </w:numPr>
        <w:spacing w:after="120" w:line="276" w:lineRule="auto"/>
        <w:contextualSpacing w:val="0"/>
        <w:jc w:val="both"/>
        <w:rPr>
          <w:rFonts w:ascii="Arial" w:hAnsi="Arial" w:cs="Arial"/>
        </w:rPr>
      </w:pPr>
      <w:r w:rsidRPr="00014552">
        <w:rPr>
          <w:rFonts w:ascii="Arial" w:hAnsi="Arial" w:cs="Arial"/>
        </w:rPr>
        <w:t>Condon</w:t>
      </w:r>
      <w:r>
        <w:rPr>
          <w:rFonts w:ascii="Arial" w:hAnsi="Arial" w:cs="Arial"/>
        </w:rPr>
        <w:t>in</w:t>
      </w:r>
      <w:r w:rsidRPr="00014552">
        <w:rPr>
          <w:rFonts w:ascii="Arial" w:hAnsi="Arial" w:cs="Arial"/>
        </w:rPr>
        <w:t xml:space="preserve">g of violence against women </w:t>
      </w:r>
    </w:p>
    <w:p w14:paraId="11EB27E8" w14:textId="77777777" w:rsidR="00E23724" w:rsidRPr="00014552" w:rsidRDefault="00E23724" w:rsidP="006457DA">
      <w:pPr>
        <w:pStyle w:val="ListParagraph"/>
        <w:numPr>
          <w:ilvl w:val="0"/>
          <w:numId w:val="3"/>
        </w:numPr>
        <w:spacing w:after="120" w:line="276" w:lineRule="auto"/>
        <w:contextualSpacing w:val="0"/>
        <w:jc w:val="both"/>
        <w:rPr>
          <w:rFonts w:ascii="Arial" w:hAnsi="Arial" w:cs="Arial"/>
        </w:rPr>
      </w:pPr>
      <w:r w:rsidRPr="00014552">
        <w:rPr>
          <w:rFonts w:ascii="Arial" w:hAnsi="Arial" w:cs="Arial"/>
        </w:rPr>
        <w:t xml:space="preserve">Men’s control of decision making and limits to women’s independence </w:t>
      </w:r>
    </w:p>
    <w:p w14:paraId="0566B26C" w14:textId="77777777" w:rsidR="00E23724" w:rsidRPr="00014552" w:rsidRDefault="00E23724" w:rsidP="006457DA">
      <w:pPr>
        <w:pStyle w:val="ListParagraph"/>
        <w:numPr>
          <w:ilvl w:val="0"/>
          <w:numId w:val="3"/>
        </w:numPr>
        <w:spacing w:after="120" w:line="276" w:lineRule="auto"/>
        <w:contextualSpacing w:val="0"/>
        <w:jc w:val="both"/>
        <w:rPr>
          <w:rFonts w:ascii="Arial" w:hAnsi="Arial" w:cs="Arial"/>
        </w:rPr>
      </w:pPr>
      <w:r w:rsidRPr="00014552">
        <w:rPr>
          <w:rFonts w:ascii="Arial" w:hAnsi="Arial" w:cs="Arial"/>
        </w:rPr>
        <w:t xml:space="preserve">Stereotyped constructions of masculinity and femininity </w:t>
      </w:r>
    </w:p>
    <w:p w14:paraId="4FD7831E" w14:textId="77777777" w:rsidR="00E23724" w:rsidRPr="00014552" w:rsidRDefault="00E23724" w:rsidP="006457DA">
      <w:pPr>
        <w:pStyle w:val="ListParagraph"/>
        <w:numPr>
          <w:ilvl w:val="0"/>
          <w:numId w:val="3"/>
        </w:numPr>
        <w:spacing w:after="120" w:line="276" w:lineRule="auto"/>
        <w:contextualSpacing w:val="0"/>
        <w:jc w:val="both"/>
        <w:rPr>
          <w:rFonts w:ascii="Arial" w:hAnsi="Arial" w:cs="Arial"/>
        </w:rPr>
      </w:pPr>
      <w:r w:rsidRPr="00014552">
        <w:rPr>
          <w:rFonts w:ascii="Arial" w:hAnsi="Arial" w:cs="Arial"/>
        </w:rPr>
        <w:t>Disrespect towards women and male peer relations that emphasise aggression</w:t>
      </w:r>
    </w:p>
    <w:p w14:paraId="1C4BA601" w14:textId="0AB32029" w:rsidR="00966FD1" w:rsidRPr="00014552" w:rsidRDefault="00E23724" w:rsidP="006457DA">
      <w:pPr>
        <w:spacing w:after="120" w:line="276" w:lineRule="auto"/>
        <w:jc w:val="both"/>
        <w:rPr>
          <w:rFonts w:ascii="Arial" w:hAnsi="Arial" w:cs="Arial"/>
        </w:rPr>
      </w:pPr>
      <w:r>
        <w:rPr>
          <w:rFonts w:ascii="Arial" w:hAnsi="Arial" w:cs="Arial"/>
        </w:rPr>
        <w:t xml:space="preserve">It must also address other forms of inequality and discrimination such as ableism, racism, and colonisation that </w:t>
      </w:r>
      <w:r w:rsidR="00405408">
        <w:rPr>
          <w:rFonts w:ascii="Arial" w:hAnsi="Arial" w:cs="Arial"/>
        </w:rPr>
        <w:t xml:space="preserve">can increase the risk or severity of violence. </w:t>
      </w:r>
      <w:r w:rsidR="00363A07">
        <w:rPr>
          <w:rFonts w:ascii="Arial" w:hAnsi="Arial" w:cs="Arial"/>
        </w:rPr>
        <w:t>For example, y</w:t>
      </w:r>
      <w:r w:rsidR="00363A07" w:rsidRPr="00966FD1">
        <w:rPr>
          <w:rFonts w:ascii="Arial" w:hAnsi="Arial" w:cs="Arial"/>
        </w:rPr>
        <w:t>oung people with disability are twice as likely to report experiencing violence in the last 12 months compared to young people without disability</w:t>
      </w:r>
      <w:r w:rsidR="00363A07">
        <w:rPr>
          <w:rFonts w:ascii="Arial" w:hAnsi="Arial" w:cs="Arial"/>
        </w:rPr>
        <w:t>.</w:t>
      </w:r>
      <w:r w:rsidR="00363A07">
        <w:rPr>
          <w:rStyle w:val="FootnoteReference"/>
          <w:rFonts w:ascii="Arial" w:hAnsi="Arial" w:cs="Arial"/>
        </w:rPr>
        <w:footnoteReference w:id="160"/>
      </w:r>
      <w:r w:rsidR="00405408">
        <w:rPr>
          <w:rFonts w:ascii="Arial" w:hAnsi="Arial" w:cs="Arial"/>
        </w:rPr>
        <w:t>This means that ‘universal’ prevention initiatives must take an intersectional approach, ensuring they include and address the experiences of diverse groups of women, and that tailored approaches or initiatives may also be needed to address the needs of particular groups of young people.</w:t>
      </w:r>
      <w:r w:rsidR="00966FD1">
        <w:rPr>
          <w:rFonts w:ascii="Arial" w:hAnsi="Arial" w:cs="Arial"/>
        </w:rPr>
        <w:t xml:space="preserve"> </w:t>
      </w:r>
    </w:p>
    <w:p w14:paraId="6D174779" w14:textId="5123A886" w:rsidR="00405408" w:rsidRDefault="00405408" w:rsidP="006457DA">
      <w:pPr>
        <w:spacing w:after="120" w:line="276" w:lineRule="auto"/>
        <w:jc w:val="both"/>
        <w:rPr>
          <w:rFonts w:ascii="Arial" w:hAnsi="Arial" w:cs="Arial"/>
        </w:rPr>
      </w:pPr>
      <w:r>
        <w:rPr>
          <w:rFonts w:ascii="Arial" w:hAnsi="Arial" w:cs="Arial"/>
        </w:rPr>
        <w:t>A whole-of-government youth strategy presents a valuable opportunity to embed an intersectional approach to gender equity across all outcome domains and make a strong contribution to the prevention of violence against women, both for young women and for women throughout their lives.</w:t>
      </w:r>
    </w:p>
    <w:p w14:paraId="600502CE" w14:textId="57640CBD" w:rsidR="00405408" w:rsidRDefault="00AE237D" w:rsidP="006457DA">
      <w:pPr>
        <w:spacing w:after="120" w:line="276" w:lineRule="auto"/>
        <w:jc w:val="both"/>
        <w:rPr>
          <w:rFonts w:ascii="Arial" w:hAnsi="Arial" w:cs="Arial"/>
        </w:rPr>
      </w:pPr>
      <w:r>
        <w:rPr>
          <w:rFonts w:ascii="Arial" w:hAnsi="Arial" w:cs="Arial"/>
        </w:rPr>
        <w:t xml:space="preserve">An effective approach to the primary prevention of violence against women requires mutually-reinforcing initiatives that target gendered norms, practices and structures across multiple settings (including schools, workplaces, sports and media) and at every level of the </w:t>
      </w:r>
      <w:r w:rsidR="00405408">
        <w:rPr>
          <w:rFonts w:ascii="Arial" w:hAnsi="Arial" w:cs="Arial"/>
        </w:rPr>
        <w:t>socio-ecological model</w:t>
      </w:r>
      <w:r>
        <w:rPr>
          <w:rFonts w:ascii="Arial" w:hAnsi="Arial" w:cs="Arial"/>
        </w:rPr>
        <w:t xml:space="preserve"> (individual, relationship, community and societal). Examples include:</w:t>
      </w:r>
    </w:p>
    <w:p w14:paraId="34498906" w14:textId="5851648F" w:rsidR="00AE237D" w:rsidRDefault="00AE237D" w:rsidP="006457DA">
      <w:pPr>
        <w:pStyle w:val="ListParagraph"/>
        <w:numPr>
          <w:ilvl w:val="0"/>
          <w:numId w:val="19"/>
        </w:numPr>
        <w:spacing w:after="120" w:line="276" w:lineRule="auto"/>
        <w:contextualSpacing w:val="0"/>
        <w:jc w:val="both"/>
        <w:rPr>
          <w:rFonts w:ascii="Arial" w:hAnsi="Arial" w:cs="Arial"/>
        </w:rPr>
      </w:pPr>
      <w:r>
        <w:rPr>
          <w:rFonts w:ascii="Arial" w:hAnsi="Arial" w:cs="Arial"/>
        </w:rPr>
        <w:lastRenderedPageBreak/>
        <w:t xml:space="preserve">Respectful Relationships Education, which </w:t>
      </w:r>
      <w:r w:rsidR="00013BCA">
        <w:rPr>
          <w:rFonts w:ascii="Arial" w:hAnsi="Arial" w:cs="Arial"/>
        </w:rPr>
        <w:t>addresses harmful gender norms and practices at an individual, organisational and community level, within the school setting</w:t>
      </w:r>
    </w:p>
    <w:p w14:paraId="458BA0F5" w14:textId="5D87B80B" w:rsidR="00013BCA" w:rsidRPr="00AE237D" w:rsidRDefault="00013BCA" w:rsidP="006457DA">
      <w:pPr>
        <w:pStyle w:val="ListParagraph"/>
        <w:numPr>
          <w:ilvl w:val="0"/>
          <w:numId w:val="19"/>
        </w:numPr>
        <w:spacing w:after="120" w:line="276" w:lineRule="auto"/>
        <w:contextualSpacing w:val="0"/>
        <w:jc w:val="both"/>
        <w:rPr>
          <w:rFonts w:ascii="Arial" w:hAnsi="Arial" w:cs="Arial"/>
        </w:rPr>
      </w:pPr>
      <w:r>
        <w:rPr>
          <w:rFonts w:ascii="Arial" w:hAnsi="Arial" w:cs="Arial"/>
        </w:rPr>
        <w:t>WHV’s Gender Equality in Advertising project which takes a systems approach to promoting diverse and transformative gender portrayals in advertising</w:t>
      </w:r>
      <w:r w:rsidR="00363A07">
        <w:rPr>
          <w:rFonts w:ascii="Arial" w:hAnsi="Arial" w:cs="Arial"/>
        </w:rPr>
        <w:t xml:space="preserve"> –</w:t>
      </w:r>
      <w:r>
        <w:rPr>
          <w:rFonts w:ascii="Arial" w:hAnsi="Arial" w:cs="Arial"/>
        </w:rPr>
        <w:t xml:space="preserve"> working</w:t>
      </w:r>
      <w:r w:rsidR="00363A07">
        <w:rPr>
          <w:rFonts w:ascii="Arial" w:hAnsi="Arial" w:cs="Arial"/>
        </w:rPr>
        <w:t xml:space="preserve"> </w:t>
      </w:r>
      <w:r>
        <w:rPr>
          <w:rFonts w:ascii="Arial" w:hAnsi="Arial" w:cs="Arial"/>
        </w:rPr>
        <w:t>with individuals, organisations and governments to address sexist attitudes and behaviours, transform discriminatory workplace practices and cultures, and strengthen inadequate regulatory frameworks</w:t>
      </w:r>
      <w:r w:rsidR="00C13A4A">
        <w:rPr>
          <w:rFonts w:ascii="Arial" w:hAnsi="Arial" w:cs="Arial"/>
        </w:rPr>
        <w:t>.</w:t>
      </w:r>
    </w:p>
    <w:p w14:paraId="5DC6E6F1" w14:textId="4DC6450F" w:rsidR="00AE237D" w:rsidRDefault="00AE237D" w:rsidP="006457DA">
      <w:pPr>
        <w:spacing w:after="120" w:line="276" w:lineRule="auto"/>
        <w:jc w:val="both"/>
        <w:rPr>
          <w:rFonts w:ascii="Arial" w:hAnsi="Arial" w:cs="Arial"/>
        </w:rPr>
      </w:pPr>
      <w:r>
        <w:rPr>
          <w:rFonts w:ascii="Arial" w:hAnsi="Arial" w:cs="Arial"/>
        </w:rPr>
        <w:t>Key gaps in Victoria’s approach to the prevention of violence against women that require further attention as part of the Victorian Youth Strategy include:</w:t>
      </w:r>
    </w:p>
    <w:p w14:paraId="4B8E16D5" w14:textId="27A9922B" w:rsidR="00AE237D" w:rsidRDefault="00AE237D" w:rsidP="006457DA">
      <w:pPr>
        <w:pStyle w:val="ListParagraph"/>
        <w:numPr>
          <w:ilvl w:val="0"/>
          <w:numId w:val="20"/>
        </w:numPr>
        <w:spacing w:after="120" w:line="276" w:lineRule="auto"/>
        <w:contextualSpacing w:val="0"/>
        <w:jc w:val="both"/>
        <w:rPr>
          <w:rFonts w:ascii="Arial" w:hAnsi="Arial" w:cs="Arial"/>
        </w:rPr>
      </w:pPr>
      <w:r>
        <w:rPr>
          <w:rFonts w:ascii="Arial" w:hAnsi="Arial" w:cs="Arial"/>
        </w:rPr>
        <w:t>A stronger focus on preventing and responding to sexual harassment and sexual violence</w:t>
      </w:r>
    </w:p>
    <w:p w14:paraId="0E8F9742" w14:textId="02C4CBD6" w:rsidR="00AE237D" w:rsidRDefault="00BF26AF" w:rsidP="006457DA">
      <w:pPr>
        <w:pStyle w:val="ListParagraph"/>
        <w:numPr>
          <w:ilvl w:val="0"/>
          <w:numId w:val="20"/>
        </w:numPr>
        <w:spacing w:after="120" w:line="276" w:lineRule="auto"/>
        <w:contextualSpacing w:val="0"/>
        <w:jc w:val="both"/>
        <w:rPr>
          <w:rFonts w:ascii="Arial" w:hAnsi="Arial" w:cs="Arial"/>
        </w:rPr>
      </w:pPr>
      <w:r>
        <w:rPr>
          <w:rFonts w:ascii="Arial" w:hAnsi="Arial" w:cs="Arial"/>
        </w:rPr>
        <w:t>Cross-sector collaboration to p</w:t>
      </w:r>
      <w:r w:rsidR="00013BCA">
        <w:rPr>
          <w:rFonts w:ascii="Arial" w:hAnsi="Arial" w:cs="Arial"/>
        </w:rPr>
        <w:t>revent and respond to reproductive coercion</w:t>
      </w:r>
      <w:r w:rsidR="009D2791">
        <w:rPr>
          <w:rFonts w:ascii="Arial" w:hAnsi="Arial" w:cs="Arial"/>
        </w:rPr>
        <w:t>/abuse</w:t>
      </w:r>
    </w:p>
    <w:p w14:paraId="6A0E7BB0" w14:textId="4E6EB4D8" w:rsidR="00013BCA" w:rsidRDefault="00BF26AF" w:rsidP="006457DA">
      <w:pPr>
        <w:pStyle w:val="ListParagraph"/>
        <w:numPr>
          <w:ilvl w:val="0"/>
          <w:numId w:val="20"/>
        </w:numPr>
        <w:spacing w:after="120" w:line="276" w:lineRule="auto"/>
        <w:contextualSpacing w:val="0"/>
        <w:jc w:val="both"/>
        <w:rPr>
          <w:rFonts w:ascii="Arial" w:hAnsi="Arial" w:cs="Arial"/>
        </w:rPr>
      </w:pPr>
      <w:bookmarkStart w:id="49" w:name="_Hlk58397391"/>
      <w:r>
        <w:rPr>
          <w:rFonts w:ascii="Arial" w:hAnsi="Arial" w:cs="Arial"/>
        </w:rPr>
        <w:t>Evaluating and enhancing media literacy and critical media analysis for young people</w:t>
      </w:r>
    </w:p>
    <w:bookmarkEnd w:id="49"/>
    <w:p w14:paraId="0801F772" w14:textId="60AB03E0" w:rsidR="00AE237D" w:rsidRPr="000F66D2" w:rsidRDefault="00BF26AF" w:rsidP="006457DA">
      <w:pPr>
        <w:pStyle w:val="ListParagraph"/>
        <w:numPr>
          <w:ilvl w:val="0"/>
          <w:numId w:val="20"/>
        </w:numPr>
        <w:spacing w:after="120" w:line="276" w:lineRule="auto"/>
        <w:contextualSpacing w:val="0"/>
        <w:jc w:val="both"/>
        <w:rPr>
          <w:rFonts w:ascii="Arial" w:hAnsi="Arial" w:cs="Arial"/>
        </w:rPr>
      </w:pPr>
      <w:r>
        <w:rPr>
          <w:rFonts w:ascii="Arial" w:hAnsi="Arial" w:cs="Arial"/>
        </w:rPr>
        <w:t xml:space="preserve">Approaches to primary prevention that target young men and challenge </w:t>
      </w:r>
      <w:r w:rsidRPr="000F66D2">
        <w:rPr>
          <w:rFonts w:ascii="Arial" w:hAnsi="Arial" w:cs="Arial"/>
        </w:rPr>
        <w:t xml:space="preserve">harmful </w:t>
      </w:r>
      <w:r w:rsidR="000F66D2" w:rsidRPr="000F66D2">
        <w:rPr>
          <w:rFonts w:ascii="Arial" w:hAnsi="Arial" w:cs="Arial"/>
        </w:rPr>
        <w:t xml:space="preserve">attitudes and behaviours and rigid </w:t>
      </w:r>
      <w:r w:rsidRPr="000F66D2">
        <w:rPr>
          <w:rFonts w:ascii="Arial" w:hAnsi="Arial" w:cs="Arial"/>
        </w:rPr>
        <w:t>masculin</w:t>
      </w:r>
      <w:r w:rsidR="000F66D2" w:rsidRPr="000F66D2">
        <w:rPr>
          <w:rFonts w:ascii="Arial" w:hAnsi="Arial" w:cs="Arial"/>
        </w:rPr>
        <w:t>e gender norms</w:t>
      </w:r>
    </w:p>
    <w:p w14:paraId="7F2C9735" w14:textId="16ABD706" w:rsidR="002A68EE" w:rsidRPr="00AE237D" w:rsidRDefault="00BF26AF" w:rsidP="006457DA">
      <w:pPr>
        <w:pStyle w:val="Heading2"/>
        <w:spacing w:before="0" w:after="120" w:line="276" w:lineRule="auto"/>
        <w:jc w:val="both"/>
        <w:rPr>
          <w:b/>
          <w:bCs/>
        </w:rPr>
      </w:pPr>
      <w:bookmarkStart w:id="50" w:name="_Toc59045892"/>
      <w:r>
        <w:rPr>
          <w:b/>
          <w:bCs/>
        </w:rPr>
        <w:t>Preventing and responding to sexual harassment and sexual violence</w:t>
      </w:r>
      <w:bookmarkEnd w:id="50"/>
    </w:p>
    <w:p w14:paraId="59216A8A" w14:textId="3DF4D382" w:rsidR="00BF26AF" w:rsidRDefault="00BF26AF" w:rsidP="006457DA">
      <w:pPr>
        <w:spacing w:after="120" w:line="276" w:lineRule="auto"/>
        <w:jc w:val="both"/>
        <w:rPr>
          <w:rFonts w:ascii="Arial" w:hAnsi="Arial" w:cs="Arial"/>
          <w:i/>
          <w:iCs/>
        </w:rPr>
      </w:pPr>
      <w:r w:rsidRPr="00014552">
        <w:rPr>
          <w:rFonts w:ascii="Arial" w:hAnsi="Arial" w:cs="Arial"/>
        </w:rPr>
        <w:t>A recent report by Our Watch tracking</w:t>
      </w:r>
      <w:r>
        <w:rPr>
          <w:rFonts w:ascii="Arial" w:hAnsi="Arial" w:cs="Arial"/>
        </w:rPr>
        <w:t xml:space="preserve"> the</w:t>
      </w:r>
      <w:r w:rsidRPr="00014552">
        <w:rPr>
          <w:rFonts w:ascii="Arial" w:hAnsi="Arial" w:cs="Arial"/>
        </w:rPr>
        <w:t xml:space="preserve"> progress of </w:t>
      </w:r>
      <w:r>
        <w:rPr>
          <w:rFonts w:ascii="Arial" w:hAnsi="Arial" w:cs="Arial"/>
        </w:rPr>
        <w:t xml:space="preserve">efforts to prevent </w:t>
      </w:r>
      <w:r w:rsidRPr="00014552">
        <w:rPr>
          <w:rFonts w:ascii="Arial" w:hAnsi="Arial" w:cs="Arial"/>
        </w:rPr>
        <w:t xml:space="preserve">violence against women in Australia found that a </w:t>
      </w:r>
      <w:r w:rsidRPr="717D599A">
        <w:rPr>
          <w:rFonts w:ascii="Arial" w:hAnsi="Arial" w:cs="Arial"/>
          <w:i/>
          <w:iCs/>
        </w:rPr>
        <w:t>‘concerning proportion of people hold attitudes which disregard the need for sexual consent in sexual relations’.</w:t>
      </w:r>
      <w:r>
        <w:rPr>
          <w:rStyle w:val="FootnoteReference"/>
          <w:rFonts w:ascii="Arial" w:hAnsi="Arial" w:cs="Arial"/>
        </w:rPr>
        <w:footnoteReference w:id="161"/>
      </w:r>
      <w:r w:rsidRPr="00014552">
        <w:rPr>
          <w:rFonts w:ascii="Arial" w:hAnsi="Arial" w:cs="Arial"/>
        </w:rPr>
        <w:t xml:space="preserve"> This is particularly true for young men</w:t>
      </w:r>
      <w:r w:rsidR="00C13A4A">
        <w:rPr>
          <w:rFonts w:ascii="Arial" w:hAnsi="Arial" w:cs="Arial"/>
        </w:rPr>
        <w:t xml:space="preserve"> with a</w:t>
      </w:r>
      <w:r>
        <w:rPr>
          <w:rFonts w:ascii="Arial" w:hAnsi="Arial" w:cs="Arial"/>
        </w:rPr>
        <w:t xml:space="preserve"> 2019 Australian study </w:t>
      </w:r>
      <w:r w:rsidRPr="00014552">
        <w:rPr>
          <w:rFonts w:ascii="Arial" w:hAnsi="Arial" w:cs="Arial"/>
        </w:rPr>
        <w:t>f</w:t>
      </w:r>
      <w:r w:rsidR="00C13A4A">
        <w:rPr>
          <w:rFonts w:ascii="Arial" w:hAnsi="Arial" w:cs="Arial"/>
        </w:rPr>
        <w:t>inding</w:t>
      </w:r>
      <w:r w:rsidRPr="00014552">
        <w:rPr>
          <w:rFonts w:ascii="Arial" w:hAnsi="Arial" w:cs="Arial"/>
        </w:rPr>
        <w:t xml:space="preserve"> that </w:t>
      </w:r>
      <w:r>
        <w:rPr>
          <w:rFonts w:ascii="Arial" w:hAnsi="Arial" w:cs="Arial"/>
        </w:rPr>
        <w:t xml:space="preserve">significant proportions of young men </w:t>
      </w:r>
      <w:r w:rsidRPr="00014552">
        <w:rPr>
          <w:rFonts w:ascii="Arial" w:hAnsi="Arial" w:cs="Arial"/>
        </w:rPr>
        <w:t>supported attitudes that justified sexual violence</w:t>
      </w:r>
      <w:r>
        <w:rPr>
          <w:rFonts w:ascii="Arial" w:hAnsi="Arial" w:cs="Arial"/>
        </w:rPr>
        <w:t>.</w:t>
      </w:r>
      <w:r w:rsidRPr="00014552">
        <w:rPr>
          <w:rFonts w:ascii="Arial" w:hAnsi="Arial" w:cs="Arial"/>
        </w:rPr>
        <w:t xml:space="preserve"> </w:t>
      </w:r>
      <w:r>
        <w:rPr>
          <w:rFonts w:ascii="Arial" w:hAnsi="Arial" w:cs="Arial"/>
        </w:rPr>
        <w:t>F</w:t>
      </w:r>
      <w:r w:rsidRPr="00014552">
        <w:rPr>
          <w:rFonts w:ascii="Arial" w:hAnsi="Arial" w:cs="Arial"/>
        </w:rPr>
        <w:t>or example</w:t>
      </w:r>
      <w:r>
        <w:rPr>
          <w:rFonts w:ascii="Arial" w:hAnsi="Arial" w:cs="Arial"/>
        </w:rPr>
        <w:t>, nearly a quarter of young men (</w:t>
      </w:r>
      <w:r w:rsidRPr="00014552">
        <w:rPr>
          <w:rFonts w:ascii="Arial" w:hAnsi="Arial" w:cs="Arial"/>
        </w:rPr>
        <w:t xml:space="preserve">24%) </w:t>
      </w:r>
      <w:r>
        <w:rPr>
          <w:rFonts w:ascii="Arial" w:hAnsi="Arial" w:cs="Arial"/>
        </w:rPr>
        <w:t>ag</w:t>
      </w:r>
      <w:r w:rsidRPr="00014552">
        <w:rPr>
          <w:rFonts w:ascii="Arial" w:hAnsi="Arial" w:cs="Arial"/>
        </w:rPr>
        <w:t xml:space="preserve">reed that </w:t>
      </w:r>
      <w:r>
        <w:rPr>
          <w:rFonts w:ascii="Arial" w:hAnsi="Arial" w:cs="Arial"/>
        </w:rPr>
        <w:t>‘</w:t>
      </w:r>
      <w:r w:rsidRPr="717D599A">
        <w:rPr>
          <w:rFonts w:ascii="Arial" w:hAnsi="Arial" w:cs="Arial"/>
          <w:i/>
          <w:iCs/>
        </w:rPr>
        <w:t>women find it flattering to be persistently pursued, even if they are not interested’.</w:t>
      </w:r>
      <w:r w:rsidRPr="717D599A">
        <w:rPr>
          <w:rStyle w:val="FootnoteReference"/>
          <w:rFonts w:ascii="Arial" w:hAnsi="Arial" w:cs="Arial"/>
          <w:i/>
          <w:iCs/>
        </w:rPr>
        <w:footnoteReference w:id="162"/>
      </w:r>
    </w:p>
    <w:p w14:paraId="231DDAEB" w14:textId="48190FFD" w:rsidR="00B73C6C" w:rsidRPr="00014552" w:rsidRDefault="00B73C6C" w:rsidP="006457DA">
      <w:pPr>
        <w:spacing w:after="120" w:line="276" w:lineRule="auto"/>
        <w:jc w:val="both"/>
        <w:rPr>
          <w:rFonts w:ascii="Arial" w:hAnsi="Arial" w:cs="Arial"/>
        </w:rPr>
      </w:pPr>
      <w:r w:rsidRPr="00014552">
        <w:rPr>
          <w:rFonts w:ascii="Arial" w:hAnsi="Arial" w:cs="Arial"/>
        </w:rPr>
        <w:t xml:space="preserve">Research </w:t>
      </w:r>
      <w:r w:rsidR="00BF26AF">
        <w:rPr>
          <w:rFonts w:ascii="Arial" w:hAnsi="Arial" w:cs="Arial"/>
        </w:rPr>
        <w:t xml:space="preserve">also </w:t>
      </w:r>
      <w:r w:rsidRPr="00014552">
        <w:rPr>
          <w:rFonts w:ascii="Arial" w:hAnsi="Arial" w:cs="Arial"/>
        </w:rPr>
        <w:t xml:space="preserve">shows high levels of sexual harassment in settings where </w:t>
      </w:r>
      <w:r w:rsidR="00112F18">
        <w:rPr>
          <w:rFonts w:ascii="Arial" w:hAnsi="Arial" w:cs="Arial"/>
        </w:rPr>
        <w:t>there are high proportions of young people</w:t>
      </w:r>
      <w:r w:rsidRPr="00014552">
        <w:rPr>
          <w:rFonts w:ascii="Arial" w:hAnsi="Arial" w:cs="Arial"/>
        </w:rPr>
        <w:t xml:space="preserve">. </w:t>
      </w:r>
      <w:r w:rsidR="00212F47" w:rsidRPr="00014552">
        <w:rPr>
          <w:rFonts w:ascii="Arial" w:hAnsi="Arial" w:cs="Arial"/>
        </w:rPr>
        <w:t>A</w:t>
      </w:r>
      <w:r w:rsidRPr="00014552">
        <w:rPr>
          <w:rFonts w:ascii="Arial" w:hAnsi="Arial" w:cs="Arial"/>
        </w:rPr>
        <w:t xml:space="preserve"> recent report found that one in five students in Australian </w:t>
      </w:r>
      <w:r w:rsidR="00112F18">
        <w:rPr>
          <w:rFonts w:ascii="Arial" w:hAnsi="Arial" w:cs="Arial"/>
        </w:rPr>
        <w:t>u</w:t>
      </w:r>
      <w:r w:rsidRPr="00014552">
        <w:rPr>
          <w:rFonts w:ascii="Arial" w:hAnsi="Arial" w:cs="Arial"/>
        </w:rPr>
        <w:t>niversities had experienced sexual harassment</w:t>
      </w:r>
      <w:r w:rsidR="00112F18">
        <w:rPr>
          <w:rFonts w:ascii="Arial" w:hAnsi="Arial" w:cs="Arial"/>
        </w:rPr>
        <w:t>.</w:t>
      </w:r>
      <w:r w:rsidR="00C72042">
        <w:rPr>
          <w:rStyle w:val="FootnoteReference"/>
          <w:rFonts w:ascii="Arial" w:hAnsi="Arial" w:cs="Arial"/>
        </w:rPr>
        <w:footnoteReference w:id="163"/>
      </w:r>
      <w:r w:rsidRPr="00014552">
        <w:rPr>
          <w:rFonts w:ascii="Arial" w:hAnsi="Arial" w:cs="Arial"/>
        </w:rPr>
        <w:t xml:space="preserve"> A</w:t>
      </w:r>
      <w:r w:rsidR="00212F47" w:rsidRPr="00014552">
        <w:rPr>
          <w:rFonts w:ascii="Arial" w:hAnsi="Arial" w:cs="Arial"/>
        </w:rPr>
        <w:t xml:space="preserve">nother study </w:t>
      </w:r>
      <w:r w:rsidRPr="00AB2952">
        <w:rPr>
          <w:rFonts w:ascii="Arial" w:hAnsi="Arial" w:cs="Arial"/>
        </w:rPr>
        <w:t>into the hospitality and retail sector</w:t>
      </w:r>
      <w:r w:rsidR="00363A07">
        <w:rPr>
          <w:rFonts w:ascii="Arial" w:hAnsi="Arial" w:cs="Arial"/>
        </w:rPr>
        <w:t>s</w:t>
      </w:r>
      <w:r w:rsidR="00AB2952" w:rsidRPr="00AB2952">
        <w:rPr>
          <w:rStyle w:val="FootnoteReference"/>
          <w:rFonts w:ascii="Arial" w:hAnsi="Arial" w:cs="Arial"/>
        </w:rPr>
        <w:footnoteReference w:id="164"/>
      </w:r>
      <w:r w:rsidRPr="00AB2952">
        <w:rPr>
          <w:rFonts w:ascii="Arial" w:hAnsi="Arial" w:cs="Arial"/>
        </w:rPr>
        <w:t>,</w:t>
      </w:r>
      <w:r w:rsidRPr="00014552">
        <w:rPr>
          <w:rFonts w:ascii="Arial" w:hAnsi="Arial" w:cs="Arial"/>
        </w:rPr>
        <w:t xml:space="preserve"> where many young people undertake their first job, found that the majority of th</w:t>
      </w:r>
      <w:r w:rsidR="00363A07">
        <w:rPr>
          <w:rFonts w:ascii="Arial" w:hAnsi="Arial" w:cs="Arial"/>
        </w:rPr>
        <w:t xml:space="preserve">e </w:t>
      </w:r>
      <w:r w:rsidRPr="00014552">
        <w:rPr>
          <w:rFonts w:ascii="Arial" w:hAnsi="Arial" w:cs="Arial"/>
        </w:rPr>
        <w:t xml:space="preserve">female workforce had experienced sexual harassment and </w:t>
      </w:r>
      <w:r w:rsidR="00112F18">
        <w:rPr>
          <w:rFonts w:ascii="Arial" w:hAnsi="Arial" w:cs="Arial"/>
        </w:rPr>
        <w:t xml:space="preserve">that </w:t>
      </w:r>
      <w:r w:rsidRPr="00014552">
        <w:rPr>
          <w:rFonts w:ascii="Arial" w:hAnsi="Arial" w:cs="Arial"/>
        </w:rPr>
        <w:t xml:space="preserve">rates of sexual harassment were highest among </w:t>
      </w:r>
      <w:r w:rsidR="00E927D4">
        <w:rPr>
          <w:rFonts w:ascii="Arial" w:hAnsi="Arial" w:cs="Arial"/>
        </w:rPr>
        <w:t xml:space="preserve">those </w:t>
      </w:r>
      <w:r w:rsidRPr="00014552">
        <w:rPr>
          <w:rFonts w:ascii="Arial" w:hAnsi="Arial" w:cs="Arial"/>
        </w:rPr>
        <w:t>aged 18–29 years</w:t>
      </w:r>
      <w:r w:rsidR="00112F18">
        <w:rPr>
          <w:rFonts w:ascii="Arial" w:hAnsi="Arial" w:cs="Arial"/>
        </w:rPr>
        <w:t>.</w:t>
      </w:r>
      <w:r w:rsidR="00AB2952">
        <w:rPr>
          <w:rStyle w:val="FootnoteReference"/>
          <w:rFonts w:ascii="Arial" w:hAnsi="Arial" w:cs="Arial"/>
        </w:rPr>
        <w:footnoteReference w:id="165"/>
      </w:r>
      <w:r w:rsidRPr="00014552">
        <w:rPr>
          <w:rFonts w:ascii="Arial" w:hAnsi="Arial" w:cs="Arial"/>
        </w:rPr>
        <w:t xml:space="preserve"> </w:t>
      </w:r>
      <w:r w:rsidR="00112F18">
        <w:rPr>
          <w:rFonts w:ascii="Arial" w:hAnsi="Arial" w:cs="Arial"/>
        </w:rPr>
        <w:t xml:space="preserve">The high rate of sexual harassment of young </w:t>
      </w:r>
      <w:r w:rsidR="00112F18">
        <w:rPr>
          <w:rFonts w:ascii="Arial" w:hAnsi="Arial" w:cs="Arial"/>
        </w:rPr>
        <w:lastRenderedPageBreak/>
        <w:t>female workers both reflects and reinforces the power imbalance between junior female staff and more senior male staff and customers.</w:t>
      </w:r>
      <w:r w:rsidR="00AB2952">
        <w:rPr>
          <w:rFonts w:ascii="Arial" w:hAnsi="Arial" w:cs="Arial"/>
        </w:rPr>
        <w:t xml:space="preserve"> </w:t>
      </w:r>
      <w:r w:rsidRPr="00014552">
        <w:rPr>
          <w:rFonts w:ascii="Arial" w:hAnsi="Arial" w:cs="Arial"/>
        </w:rPr>
        <w:t xml:space="preserve"> </w:t>
      </w:r>
    </w:p>
    <w:p w14:paraId="3402F59C" w14:textId="0EFDB894" w:rsidR="009A7021" w:rsidRDefault="00AB183E" w:rsidP="006457DA">
      <w:pPr>
        <w:spacing w:after="120" w:line="276" w:lineRule="auto"/>
        <w:jc w:val="both"/>
        <w:rPr>
          <w:rFonts w:ascii="Arial" w:hAnsi="Arial" w:cs="Arial"/>
        </w:rPr>
      </w:pPr>
      <w:r w:rsidRPr="000F66D2">
        <w:rPr>
          <w:rFonts w:ascii="Arial" w:hAnsi="Arial" w:cs="Arial"/>
        </w:rPr>
        <w:t>Following the Royal Commission into Family Violence, the Victorian Government has in</w:t>
      </w:r>
      <w:r w:rsidR="000F66D2" w:rsidRPr="000F66D2">
        <w:rPr>
          <w:rFonts w:ascii="Arial" w:hAnsi="Arial" w:cs="Arial"/>
        </w:rPr>
        <w:t>vested in a range of primary prevention initiatives. While these initiatives are framed as addressing ‘all forms of violence against women’, in practice they tend to be focused on family violence</w:t>
      </w:r>
      <w:r w:rsidR="00363A07">
        <w:rPr>
          <w:rFonts w:ascii="Arial" w:hAnsi="Arial" w:cs="Arial"/>
        </w:rPr>
        <w:t>;</w:t>
      </w:r>
      <w:r w:rsidR="000F66D2" w:rsidRPr="000F66D2">
        <w:rPr>
          <w:rFonts w:ascii="Arial" w:hAnsi="Arial" w:cs="Arial"/>
        </w:rPr>
        <w:t xml:space="preserve"> other forms of violence against women, particularly sexual violence and harassment have received less attention. </w:t>
      </w:r>
      <w:r w:rsidR="00363A07">
        <w:rPr>
          <w:rFonts w:ascii="Arial" w:hAnsi="Arial" w:cs="Arial"/>
        </w:rPr>
        <w:t xml:space="preserve">WHV welcomes the commitment in the second Family Violence Rolling Action Plan to the development of a comprehensive sexual assault strategy. </w:t>
      </w:r>
      <w:r w:rsidR="009C76FA">
        <w:rPr>
          <w:rFonts w:ascii="Arial" w:hAnsi="Arial" w:cs="Arial"/>
        </w:rPr>
        <w:t>Additional investment to support a</w:t>
      </w:r>
      <w:r w:rsidR="009A7021" w:rsidRPr="00014552">
        <w:rPr>
          <w:rFonts w:ascii="Arial" w:hAnsi="Arial" w:cs="Arial"/>
        </w:rPr>
        <w:t xml:space="preserve"> </w:t>
      </w:r>
      <w:r w:rsidR="009C76FA">
        <w:rPr>
          <w:rFonts w:ascii="Arial" w:hAnsi="Arial" w:cs="Arial"/>
        </w:rPr>
        <w:t xml:space="preserve">stronger </w:t>
      </w:r>
      <w:r w:rsidR="009A7021" w:rsidRPr="00014552">
        <w:rPr>
          <w:rFonts w:ascii="Arial" w:hAnsi="Arial" w:cs="Arial"/>
        </w:rPr>
        <w:t>focus on preventing sexual assault and harassment is essential to ensure the safety of young women</w:t>
      </w:r>
      <w:r w:rsidR="009A7021">
        <w:rPr>
          <w:rFonts w:ascii="Arial" w:hAnsi="Arial" w:cs="Arial"/>
        </w:rPr>
        <w:t xml:space="preserve">, who </w:t>
      </w:r>
      <w:r w:rsidR="009A7021" w:rsidRPr="00014552">
        <w:rPr>
          <w:rFonts w:ascii="Arial" w:hAnsi="Arial" w:cs="Arial"/>
        </w:rPr>
        <w:t>are over</w:t>
      </w:r>
      <w:r w:rsidR="009A7021">
        <w:rPr>
          <w:rFonts w:ascii="Arial" w:hAnsi="Arial" w:cs="Arial"/>
        </w:rPr>
        <w:t>-</w:t>
      </w:r>
      <w:r w:rsidR="009A7021" w:rsidRPr="00014552">
        <w:rPr>
          <w:rFonts w:ascii="Arial" w:hAnsi="Arial" w:cs="Arial"/>
        </w:rPr>
        <w:t xml:space="preserve">represented as victims of sexual </w:t>
      </w:r>
      <w:r w:rsidR="009A7021">
        <w:rPr>
          <w:rFonts w:ascii="Arial" w:hAnsi="Arial" w:cs="Arial"/>
        </w:rPr>
        <w:t>violence</w:t>
      </w:r>
      <w:r w:rsidR="009A7021" w:rsidRPr="00014552">
        <w:rPr>
          <w:rFonts w:ascii="Arial" w:hAnsi="Arial" w:cs="Arial"/>
        </w:rPr>
        <w:t>.</w:t>
      </w:r>
    </w:p>
    <w:p w14:paraId="53737109" w14:textId="3D6C6E0A" w:rsidR="00B73C6C" w:rsidRDefault="000F66D2" w:rsidP="006457DA">
      <w:pPr>
        <w:spacing w:after="120" w:line="276" w:lineRule="auto"/>
        <w:jc w:val="both"/>
        <w:rPr>
          <w:rFonts w:ascii="Arial" w:hAnsi="Arial" w:cs="Arial"/>
        </w:rPr>
      </w:pPr>
      <w:r w:rsidRPr="000F66D2">
        <w:rPr>
          <w:rFonts w:ascii="Arial" w:hAnsi="Arial" w:cs="Arial"/>
        </w:rPr>
        <w:t xml:space="preserve">The </w:t>
      </w:r>
      <w:r>
        <w:rPr>
          <w:rFonts w:ascii="Arial" w:hAnsi="Arial" w:cs="Arial"/>
        </w:rPr>
        <w:t xml:space="preserve">recently released </w:t>
      </w:r>
      <w:r w:rsidRPr="000F66D2">
        <w:rPr>
          <w:rFonts w:ascii="Arial" w:hAnsi="Arial" w:cs="Arial"/>
        </w:rPr>
        <w:t>Australian Human Rights Commission report</w:t>
      </w:r>
      <w:r>
        <w:rPr>
          <w:rFonts w:ascii="Arial" w:hAnsi="Arial" w:cs="Arial"/>
        </w:rPr>
        <w:t xml:space="preserve">, </w:t>
      </w:r>
      <w:r w:rsidRPr="000F66D2">
        <w:rPr>
          <w:rFonts w:ascii="Arial" w:hAnsi="Arial" w:cs="Arial"/>
        </w:rPr>
        <w:t>Respect@Work</w:t>
      </w:r>
      <w:r>
        <w:rPr>
          <w:rFonts w:ascii="Arial" w:hAnsi="Arial" w:cs="Arial"/>
        </w:rPr>
        <w:t>,</w:t>
      </w:r>
      <w:r w:rsidRPr="000F66D2">
        <w:rPr>
          <w:rFonts w:ascii="Arial" w:hAnsi="Arial" w:cs="Arial"/>
        </w:rPr>
        <w:t xml:space="preserve"> includes a range of recommendations</w:t>
      </w:r>
      <w:r>
        <w:rPr>
          <w:rFonts w:ascii="Arial" w:hAnsi="Arial" w:cs="Arial"/>
        </w:rPr>
        <w:t xml:space="preserve"> for addressing sexual harassment at work</w:t>
      </w:r>
      <w:r w:rsidRPr="000F66D2">
        <w:rPr>
          <w:rFonts w:ascii="Arial" w:hAnsi="Arial" w:cs="Arial"/>
        </w:rPr>
        <w:t xml:space="preserve">, </w:t>
      </w:r>
      <w:r w:rsidRPr="00363A07">
        <w:rPr>
          <w:rFonts w:ascii="Arial" w:hAnsi="Arial" w:cs="Arial"/>
        </w:rPr>
        <w:t>including several that state governments can and should act on, for example in relation to strengthening workplace health and safety laws to address sexual harassment.</w:t>
      </w:r>
      <w:r w:rsidRPr="000F66D2">
        <w:rPr>
          <w:rFonts w:ascii="Arial" w:hAnsi="Arial" w:cs="Arial"/>
        </w:rPr>
        <w:t xml:space="preserve"> </w:t>
      </w:r>
      <w:r w:rsidR="00637F2D">
        <w:rPr>
          <w:rFonts w:ascii="Arial" w:hAnsi="Arial" w:cs="Arial"/>
        </w:rPr>
        <w:t>Targeted i</w:t>
      </w:r>
      <w:r w:rsidR="009A7021">
        <w:rPr>
          <w:rFonts w:ascii="Arial" w:hAnsi="Arial" w:cs="Arial"/>
        </w:rPr>
        <w:t>nitiatives</w:t>
      </w:r>
      <w:r w:rsidR="00637F2D">
        <w:rPr>
          <w:rFonts w:ascii="Arial" w:hAnsi="Arial" w:cs="Arial"/>
        </w:rPr>
        <w:t xml:space="preserve"> are also needed</w:t>
      </w:r>
      <w:r w:rsidR="009A7021">
        <w:rPr>
          <w:rFonts w:ascii="Arial" w:hAnsi="Arial" w:cs="Arial"/>
        </w:rPr>
        <w:t xml:space="preserve"> to prevent </w:t>
      </w:r>
      <w:r w:rsidR="00637F2D">
        <w:rPr>
          <w:rFonts w:ascii="Arial" w:hAnsi="Arial" w:cs="Arial"/>
        </w:rPr>
        <w:t>and address sexual harassment</w:t>
      </w:r>
      <w:r w:rsidR="009A7021">
        <w:rPr>
          <w:rFonts w:ascii="Arial" w:hAnsi="Arial" w:cs="Arial"/>
        </w:rPr>
        <w:t xml:space="preserve"> </w:t>
      </w:r>
      <w:r w:rsidR="00637F2D">
        <w:rPr>
          <w:rFonts w:ascii="Arial" w:hAnsi="Arial" w:cs="Arial"/>
        </w:rPr>
        <w:t>within</w:t>
      </w:r>
      <w:r w:rsidR="009A7021">
        <w:rPr>
          <w:rFonts w:ascii="Arial" w:hAnsi="Arial" w:cs="Arial"/>
        </w:rPr>
        <w:t xml:space="preserve"> industries where there are high rates of sexual harassment, and where there tend to </w:t>
      </w:r>
      <w:r w:rsidR="00637F2D">
        <w:rPr>
          <w:rFonts w:ascii="Arial" w:hAnsi="Arial" w:cs="Arial"/>
        </w:rPr>
        <w:t xml:space="preserve">be high numbers of young people, such as hospitality. </w:t>
      </w:r>
      <w:r w:rsidRPr="000F66D2">
        <w:rPr>
          <w:rFonts w:ascii="Arial" w:hAnsi="Arial" w:cs="Arial"/>
        </w:rPr>
        <w:t xml:space="preserve">There is also a role for the Victorian Government in advocating for implementation of those recommendations for which the federal government has responsibility. </w:t>
      </w:r>
    </w:p>
    <w:p w14:paraId="252DE904" w14:textId="77777777" w:rsidR="00675946" w:rsidRDefault="009A7021" w:rsidP="006457DA">
      <w:pPr>
        <w:spacing w:after="120" w:line="276" w:lineRule="auto"/>
        <w:jc w:val="both"/>
        <w:rPr>
          <w:rFonts w:ascii="Arial" w:hAnsi="Arial" w:cs="Arial"/>
        </w:rPr>
      </w:pPr>
      <w:r>
        <w:rPr>
          <w:rFonts w:ascii="Arial" w:hAnsi="Arial" w:cs="Arial"/>
        </w:rPr>
        <w:t xml:space="preserve">There is also an opportunity to strengthen the focus on sexual harassment and sexual violence in education settings. As outlined in the section of this submission on sexual and reproductive health, there is a need to address gaps in Victoria’s approach to Respectful Relationships Education in schools to ensure comprehensive </w:t>
      </w:r>
      <w:r w:rsidRPr="00014552">
        <w:rPr>
          <w:rFonts w:ascii="Arial" w:hAnsi="Arial" w:cs="Arial"/>
        </w:rPr>
        <w:t>sexuality and relationships education</w:t>
      </w:r>
      <w:r>
        <w:rPr>
          <w:rFonts w:ascii="Arial" w:hAnsi="Arial" w:cs="Arial"/>
        </w:rPr>
        <w:t xml:space="preserve"> is being delivered in all Victorian schools, taking a whole-of-school approach. For example, a</w:t>
      </w:r>
      <w:r w:rsidRPr="00014552">
        <w:rPr>
          <w:rFonts w:ascii="Arial" w:hAnsi="Arial" w:cs="Arial"/>
        </w:rPr>
        <w:t xml:space="preserve"> recent study found that information on sex, consent and relationships is an area where young people are still wanting further information.</w:t>
      </w:r>
      <w:r>
        <w:rPr>
          <w:rStyle w:val="FootnoteReference"/>
          <w:rFonts w:ascii="Arial" w:hAnsi="Arial" w:cs="Arial"/>
        </w:rPr>
        <w:footnoteReference w:id="166"/>
      </w:r>
      <w:r w:rsidR="00637F2D">
        <w:rPr>
          <w:rFonts w:ascii="Arial" w:hAnsi="Arial" w:cs="Arial"/>
        </w:rPr>
        <w:t xml:space="preserve"> </w:t>
      </w:r>
    </w:p>
    <w:p w14:paraId="5692ED3E" w14:textId="6C50B83C" w:rsidR="009A7021" w:rsidRDefault="00363A07" w:rsidP="006457DA">
      <w:pPr>
        <w:spacing w:after="120" w:line="276" w:lineRule="auto"/>
        <w:jc w:val="both"/>
        <w:rPr>
          <w:rFonts w:ascii="Arial" w:hAnsi="Arial" w:cs="Arial"/>
        </w:rPr>
      </w:pPr>
      <w:r>
        <w:rPr>
          <w:rFonts w:ascii="Arial" w:hAnsi="Arial" w:cs="Arial"/>
        </w:rPr>
        <w:t>WHV is pleased to see that t</w:t>
      </w:r>
      <w:r w:rsidR="00637F2D">
        <w:rPr>
          <w:rFonts w:ascii="Arial" w:hAnsi="Arial" w:cs="Arial"/>
        </w:rPr>
        <w:t>he</w:t>
      </w:r>
      <w:r>
        <w:rPr>
          <w:rFonts w:ascii="Arial" w:hAnsi="Arial" w:cs="Arial"/>
        </w:rPr>
        <w:t xml:space="preserve"> second Family Violence Rolling Action Plan</w:t>
      </w:r>
      <w:r w:rsidR="00637F2D">
        <w:rPr>
          <w:rFonts w:ascii="Arial" w:hAnsi="Arial" w:cs="Arial"/>
        </w:rPr>
        <w:t xml:space="preserve"> </w:t>
      </w:r>
      <w:r>
        <w:rPr>
          <w:rFonts w:ascii="Arial" w:hAnsi="Arial" w:cs="Arial"/>
        </w:rPr>
        <w:t>includes a commitment from the Victorian Government to work</w:t>
      </w:r>
      <w:r w:rsidR="00637F2D">
        <w:rPr>
          <w:rFonts w:ascii="Arial" w:hAnsi="Arial" w:cs="Arial"/>
        </w:rPr>
        <w:t xml:space="preserve"> with Our Watch to test and scale up whole-of-organisation prevention initiatives within </w:t>
      </w:r>
      <w:r>
        <w:rPr>
          <w:rFonts w:ascii="Arial" w:hAnsi="Arial" w:cs="Arial"/>
        </w:rPr>
        <w:t>the</w:t>
      </w:r>
      <w:r w:rsidR="00637F2D">
        <w:rPr>
          <w:rFonts w:ascii="Arial" w:hAnsi="Arial" w:cs="Arial"/>
        </w:rPr>
        <w:t xml:space="preserve"> vocational education and training (VET) sector</w:t>
      </w:r>
      <w:r w:rsidR="005C3017">
        <w:rPr>
          <w:rFonts w:ascii="Arial" w:hAnsi="Arial" w:cs="Arial"/>
        </w:rPr>
        <w:t xml:space="preserve">, using evidence-based resources such as </w:t>
      </w:r>
      <w:r w:rsidR="00351BC7" w:rsidRPr="717D599A">
        <w:rPr>
          <w:rFonts w:ascii="Arial" w:hAnsi="Arial" w:cs="Arial"/>
          <w:i/>
          <w:iCs/>
        </w:rPr>
        <w:t>W</w:t>
      </w:r>
      <w:r w:rsidR="005C3017" w:rsidRPr="717D599A">
        <w:rPr>
          <w:rFonts w:ascii="Arial" w:hAnsi="Arial" w:cs="Arial"/>
          <w:i/>
          <w:iCs/>
        </w:rPr>
        <w:t>orkplace Equality and Respect</w:t>
      </w:r>
      <w:r w:rsidR="00351BC7">
        <w:rPr>
          <w:rFonts w:ascii="Arial" w:hAnsi="Arial" w:cs="Arial"/>
        </w:rPr>
        <w:t>.</w:t>
      </w:r>
      <w:r>
        <w:rPr>
          <w:rFonts w:ascii="Arial" w:hAnsi="Arial" w:cs="Arial"/>
        </w:rPr>
        <w:t xml:space="preserve"> </w:t>
      </w:r>
      <w:r w:rsidR="00637F2D">
        <w:rPr>
          <w:rFonts w:ascii="Arial" w:hAnsi="Arial" w:cs="Arial"/>
        </w:rPr>
        <w:t xml:space="preserve">The </w:t>
      </w:r>
      <w:hyperlink r:id="rId32" w:history="1">
        <w:r w:rsidR="00637F2D" w:rsidRPr="00363A07">
          <w:rPr>
            <w:rStyle w:val="Hyperlink"/>
            <w:rFonts w:ascii="Arial" w:hAnsi="Arial" w:cs="Arial"/>
          </w:rPr>
          <w:t>accredited gender equity training</w:t>
        </w:r>
      </w:hyperlink>
      <w:r w:rsidR="00637F2D">
        <w:rPr>
          <w:rFonts w:ascii="Arial" w:hAnsi="Arial" w:cs="Arial"/>
        </w:rPr>
        <w:t xml:space="preserve"> recently developed and piloted by Women’s Health Victoria can play an important role in building the capability of the VET workforce in gender equity.</w:t>
      </w:r>
      <w:r>
        <w:rPr>
          <w:rFonts w:ascii="Arial" w:hAnsi="Arial" w:cs="Arial"/>
        </w:rPr>
        <w:t xml:space="preserve"> Similar initiatives should be adopted within the university sector.</w:t>
      </w:r>
    </w:p>
    <w:p w14:paraId="4D6704BB" w14:textId="43B6F062" w:rsidR="00BF26AF" w:rsidRPr="00BF26AF" w:rsidRDefault="00BF26AF" w:rsidP="006457DA">
      <w:pPr>
        <w:pStyle w:val="Heading2"/>
        <w:spacing w:before="0" w:after="120" w:line="276" w:lineRule="auto"/>
        <w:jc w:val="both"/>
        <w:rPr>
          <w:b/>
          <w:bCs/>
        </w:rPr>
      </w:pPr>
      <w:bookmarkStart w:id="51" w:name="_Toc59045893"/>
      <w:r w:rsidRPr="00BF26AF">
        <w:rPr>
          <w:b/>
          <w:bCs/>
        </w:rPr>
        <w:t>Cross-sector collaboration to prevent and respond to reproductive coercion</w:t>
      </w:r>
      <w:r w:rsidR="009D2791">
        <w:rPr>
          <w:b/>
          <w:bCs/>
        </w:rPr>
        <w:t>/abuse</w:t>
      </w:r>
      <w:bookmarkEnd w:id="51"/>
      <w:r w:rsidRPr="00BF26AF">
        <w:rPr>
          <w:b/>
          <w:bCs/>
        </w:rPr>
        <w:t xml:space="preserve"> </w:t>
      </w:r>
    </w:p>
    <w:p w14:paraId="7BF79A3D" w14:textId="17EF2164" w:rsidR="00D73CB0" w:rsidRPr="007D0947" w:rsidRDefault="00637F2D" w:rsidP="006457DA">
      <w:pPr>
        <w:spacing w:after="120" w:line="276" w:lineRule="auto"/>
        <w:jc w:val="both"/>
        <w:rPr>
          <w:rFonts w:ascii="Arial" w:hAnsi="Arial" w:cs="Arial"/>
        </w:rPr>
      </w:pPr>
      <w:r w:rsidRPr="00C13A4A">
        <w:rPr>
          <w:rFonts w:ascii="Arial" w:hAnsi="Arial" w:cs="Arial"/>
        </w:rPr>
        <w:t xml:space="preserve">Men’s control of decision making and limits to women’s independence is one of the drivers of violence against women. </w:t>
      </w:r>
      <w:r w:rsidR="007F47C1" w:rsidRPr="00C13A4A">
        <w:rPr>
          <w:rFonts w:ascii="Arial" w:hAnsi="Arial" w:cs="Arial"/>
        </w:rPr>
        <w:t>Research shows that although attitudes may be shifting to</w:t>
      </w:r>
      <w:r w:rsidRPr="00C13A4A">
        <w:rPr>
          <w:rFonts w:ascii="Arial" w:hAnsi="Arial" w:cs="Arial"/>
        </w:rPr>
        <w:t xml:space="preserve">wards </w:t>
      </w:r>
      <w:r w:rsidRPr="00C13A4A">
        <w:rPr>
          <w:rFonts w:ascii="Arial" w:hAnsi="Arial" w:cs="Arial"/>
        </w:rPr>
        <w:lastRenderedPageBreak/>
        <w:t xml:space="preserve">greater support for </w:t>
      </w:r>
      <w:r w:rsidR="007F47C1" w:rsidRPr="00C13A4A">
        <w:rPr>
          <w:rFonts w:ascii="Arial" w:hAnsi="Arial" w:cs="Arial"/>
        </w:rPr>
        <w:t xml:space="preserve">women’s </w:t>
      </w:r>
      <w:r w:rsidRPr="00C13A4A">
        <w:rPr>
          <w:rFonts w:ascii="Arial" w:hAnsi="Arial" w:cs="Arial"/>
        </w:rPr>
        <w:t>equality and independence in</w:t>
      </w:r>
      <w:r w:rsidR="007F47C1" w:rsidRPr="00C13A4A">
        <w:rPr>
          <w:rFonts w:ascii="Arial" w:hAnsi="Arial" w:cs="Arial"/>
        </w:rPr>
        <w:t xml:space="preserve"> the workplace and public life, this is less so in the private sphere</w:t>
      </w:r>
      <w:r w:rsidRPr="00C13A4A">
        <w:rPr>
          <w:rFonts w:ascii="Arial" w:hAnsi="Arial" w:cs="Arial"/>
        </w:rPr>
        <w:t>. A</w:t>
      </w:r>
      <w:r w:rsidR="007F47C1" w:rsidRPr="00C13A4A">
        <w:rPr>
          <w:rFonts w:ascii="Arial" w:hAnsi="Arial" w:cs="Arial"/>
        </w:rPr>
        <w:t xml:space="preserve"> </w:t>
      </w:r>
      <w:r w:rsidR="00AA42A5" w:rsidRPr="00C13A4A">
        <w:rPr>
          <w:rFonts w:ascii="Arial" w:hAnsi="Arial" w:cs="Arial"/>
        </w:rPr>
        <w:t>recent</w:t>
      </w:r>
      <w:r w:rsidR="007F47C1" w:rsidRPr="00C13A4A">
        <w:rPr>
          <w:rFonts w:ascii="Arial" w:hAnsi="Arial" w:cs="Arial"/>
        </w:rPr>
        <w:t xml:space="preserve"> </w:t>
      </w:r>
      <w:r w:rsidR="00AA42A5" w:rsidRPr="00C13A4A">
        <w:rPr>
          <w:rFonts w:ascii="Arial" w:hAnsi="Arial" w:cs="Arial"/>
        </w:rPr>
        <w:t>study</w:t>
      </w:r>
      <w:r w:rsidR="007F47C1" w:rsidRPr="00C13A4A">
        <w:rPr>
          <w:rFonts w:ascii="Arial" w:hAnsi="Arial" w:cs="Arial"/>
        </w:rPr>
        <w:t xml:space="preserve"> found that </w:t>
      </w:r>
      <w:r w:rsidR="007F47C1" w:rsidRPr="00240680">
        <w:rPr>
          <w:rFonts w:ascii="Arial" w:hAnsi="Arial" w:cs="Arial"/>
        </w:rPr>
        <w:t>young men were less likely than young women</w:t>
      </w:r>
      <w:r w:rsidR="00537C49" w:rsidRPr="00240680">
        <w:rPr>
          <w:rFonts w:ascii="Arial" w:hAnsi="Arial" w:cs="Arial"/>
        </w:rPr>
        <w:t xml:space="preserve"> </w:t>
      </w:r>
      <w:r w:rsidR="007F47C1" w:rsidRPr="00240680">
        <w:rPr>
          <w:rFonts w:ascii="Arial" w:hAnsi="Arial" w:cs="Arial"/>
        </w:rPr>
        <w:t xml:space="preserve">to support </w:t>
      </w:r>
      <w:r w:rsidR="00AA42A5" w:rsidRPr="00240680">
        <w:rPr>
          <w:rFonts w:ascii="Arial" w:hAnsi="Arial" w:cs="Arial"/>
        </w:rPr>
        <w:t>attitu</w:t>
      </w:r>
      <w:r w:rsidR="00AA42A5" w:rsidRPr="00C13A4A">
        <w:rPr>
          <w:rFonts w:ascii="Arial" w:hAnsi="Arial" w:cs="Arial"/>
        </w:rPr>
        <w:t>des</w:t>
      </w:r>
      <w:r w:rsidR="007F47C1" w:rsidRPr="00C13A4A">
        <w:rPr>
          <w:rFonts w:ascii="Arial" w:hAnsi="Arial" w:cs="Arial"/>
        </w:rPr>
        <w:t xml:space="preserve"> that promote women’s </w:t>
      </w:r>
      <w:r w:rsidR="00FA2596" w:rsidRPr="00C13A4A">
        <w:rPr>
          <w:rFonts w:ascii="Arial" w:hAnsi="Arial" w:cs="Arial"/>
        </w:rPr>
        <w:t>independent</w:t>
      </w:r>
      <w:r w:rsidR="007F47C1" w:rsidRPr="00C13A4A">
        <w:rPr>
          <w:rFonts w:ascii="Arial" w:hAnsi="Arial" w:cs="Arial"/>
        </w:rPr>
        <w:t xml:space="preserve"> decision making in private life (i.e</w:t>
      </w:r>
      <w:r w:rsidRPr="00C13A4A">
        <w:rPr>
          <w:rFonts w:ascii="Arial" w:hAnsi="Arial" w:cs="Arial"/>
        </w:rPr>
        <w:t>.</w:t>
      </w:r>
      <w:r w:rsidR="007F47C1" w:rsidRPr="00C13A4A">
        <w:rPr>
          <w:rFonts w:ascii="Arial" w:hAnsi="Arial" w:cs="Arial"/>
        </w:rPr>
        <w:t xml:space="preserve"> home and family)</w:t>
      </w:r>
      <w:r w:rsidR="00C13A4A" w:rsidRPr="00C13A4A">
        <w:rPr>
          <w:rFonts w:ascii="Arial" w:hAnsi="Arial" w:cs="Arial"/>
        </w:rPr>
        <w:t>.</w:t>
      </w:r>
      <w:r w:rsidR="00F20201" w:rsidRPr="00C13A4A">
        <w:rPr>
          <w:rFonts w:ascii="Arial" w:hAnsi="Arial" w:cs="Arial"/>
        </w:rPr>
        <w:t xml:space="preserve"> </w:t>
      </w:r>
      <w:r w:rsidR="00C13A4A" w:rsidRPr="00C13A4A">
        <w:rPr>
          <w:rFonts w:ascii="Arial" w:hAnsi="Arial" w:cs="Arial"/>
        </w:rPr>
        <w:t>F</w:t>
      </w:r>
      <w:r w:rsidR="00F20201" w:rsidRPr="00C13A4A">
        <w:rPr>
          <w:rFonts w:ascii="Arial" w:hAnsi="Arial" w:cs="Arial"/>
        </w:rPr>
        <w:t>or example</w:t>
      </w:r>
      <w:r w:rsidR="00601AFC">
        <w:rPr>
          <w:rFonts w:ascii="Arial" w:hAnsi="Arial" w:cs="Arial"/>
        </w:rPr>
        <w:t>,</w:t>
      </w:r>
      <w:r w:rsidR="00537C49" w:rsidRPr="00C13A4A">
        <w:rPr>
          <w:rFonts w:ascii="Arial" w:hAnsi="Arial" w:cs="Arial"/>
        </w:rPr>
        <w:t xml:space="preserve"> </w:t>
      </w:r>
      <w:r w:rsidR="00C13A4A" w:rsidRPr="00C13A4A">
        <w:rPr>
          <w:rFonts w:ascii="Arial" w:hAnsi="Arial" w:cs="Arial"/>
        </w:rPr>
        <w:t>22% of young men agreed men should take control in relationships and be the head of the household (compared with 12% of young women)</w:t>
      </w:r>
      <w:r w:rsidR="00F20201" w:rsidRPr="00537C49">
        <w:rPr>
          <w:rFonts w:ascii="Arial" w:hAnsi="Arial" w:cs="Arial"/>
          <w:i/>
          <w:iCs/>
        </w:rPr>
        <w:t>.</w:t>
      </w:r>
      <w:r w:rsidR="002B3414" w:rsidRPr="007D0947">
        <w:rPr>
          <w:rStyle w:val="FootnoteReference"/>
          <w:rFonts w:ascii="Arial" w:hAnsi="Arial" w:cs="Arial"/>
        </w:rPr>
        <w:footnoteReference w:id="167"/>
      </w:r>
      <w:r w:rsidR="00AA42A5" w:rsidRPr="717D599A">
        <w:rPr>
          <w:rFonts w:ascii="Arial" w:hAnsi="Arial" w:cs="Arial"/>
          <w:i/>
          <w:iCs/>
        </w:rPr>
        <w:t xml:space="preserve"> </w:t>
      </w:r>
    </w:p>
    <w:p w14:paraId="6F1C4B6A" w14:textId="5A788A4A" w:rsidR="00AB70A4" w:rsidRPr="00014552" w:rsidRDefault="009D2791" w:rsidP="006457DA">
      <w:pPr>
        <w:spacing w:after="120" w:line="276" w:lineRule="auto"/>
        <w:jc w:val="both"/>
        <w:rPr>
          <w:rFonts w:ascii="Arial" w:hAnsi="Arial" w:cs="Arial"/>
        </w:rPr>
      </w:pPr>
      <w:r>
        <w:rPr>
          <w:rFonts w:ascii="Arial" w:hAnsi="Arial" w:cs="Arial"/>
        </w:rPr>
        <w:t>This is concerning and highlights the need for a stronger focus on promoting women’s autonomy in their private lives, including their bodily autonomy and reproductive rights and choices. Ensuring young women have access to contraception and abortion is key to promoting their independence and autonomy and preventing reproductive coercion/abuse – a form of violence against women which has been neglected to date</w:t>
      </w:r>
      <w:r w:rsidR="00FF2C8C">
        <w:rPr>
          <w:rFonts w:ascii="Arial" w:hAnsi="Arial" w:cs="Arial"/>
        </w:rPr>
        <w:t>, and which</w:t>
      </w:r>
      <w:r>
        <w:rPr>
          <w:rFonts w:ascii="Arial" w:hAnsi="Arial" w:cs="Arial"/>
        </w:rPr>
        <w:t xml:space="preserve"> </w:t>
      </w:r>
      <w:r w:rsidR="00FF2C8C" w:rsidRPr="00014552">
        <w:rPr>
          <w:rFonts w:ascii="Arial" w:hAnsi="Arial" w:cs="Arial"/>
        </w:rPr>
        <w:t xml:space="preserve">requires coordination </w:t>
      </w:r>
      <w:r w:rsidR="00FF2C8C">
        <w:rPr>
          <w:rFonts w:ascii="Arial" w:hAnsi="Arial" w:cs="Arial"/>
        </w:rPr>
        <w:t>between</w:t>
      </w:r>
      <w:r w:rsidR="00FF2C8C" w:rsidRPr="00014552">
        <w:rPr>
          <w:rFonts w:ascii="Arial" w:hAnsi="Arial" w:cs="Arial"/>
        </w:rPr>
        <w:t xml:space="preserve"> the sexual and reproductive health and violence against women sectors</w:t>
      </w:r>
      <w:r w:rsidR="00550CB9">
        <w:rPr>
          <w:rFonts w:ascii="Arial" w:hAnsi="Arial" w:cs="Arial"/>
        </w:rPr>
        <w:t xml:space="preserve"> (prevention and response)</w:t>
      </w:r>
      <w:r w:rsidR="00FF2C8C" w:rsidRPr="00014552">
        <w:rPr>
          <w:rFonts w:ascii="Arial" w:hAnsi="Arial" w:cs="Arial"/>
        </w:rPr>
        <w:t>.</w:t>
      </w:r>
    </w:p>
    <w:p w14:paraId="7AB945CD" w14:textId="098AFBE3" w:rsidR="009D2791" w:rsidRDefault="00E927D4" w:rsidP="007D0947">
      <w:pPr>
        <w:autoSpaceDE w:val="0"/>
        <w:autoSpaceDN w:val="0"/>
        <w:adjustRightInd w:val="0"/>
        <w:spacing w:after="120" w:line="276" w:lineRule="auto"/>
        <w:jc w:val="both"/>
        <w:rPr>
          <w:rFonts w:ascii="Arial" w:hAnsi="Arial" w:cs="Arial"/>
        </w:rPr>
      </w:pPr>
      <w:r w:rsidRPr="00E927D4">
        <w:rPr>
          <w:rFonts w:ascii="Arial" w:hAnsi="Arial" w:cs="Arial"/>
        </w:rPr>
        <w:t>Reproductive coercion</w:t>
      </w:r>
      <w:r w:rsidR="00240680">
        <w:rPr>
          <w:rFonts w:ascii="Arial" w:hAnsi="Arial" w:cs="Arial"/>
        </w:rPr>
        <w:t>/abuse</w:t>
      </w:r>
      <w:r w:rsidRPr="00E927D4">
        <w:rPr>
          <w:rFonts w:ascii="Arial" w:hAnsi="Arial" w:cs="Arial"/>
        </w:rPr>
        <w:t xml:space="preserve"> is</w:t>
      </w:r>
      <w:r w:rsidR="007D0947">
        <w:rPr>
          <w:rFonts w:ascii="Arial" w:hAnsi="Arial" w:cs="Arial"/>
        </w:rPr>
        <w:t xml:space="preserve"> defined </w:t>
      </w:r>
      <w:r w:rsidR="007D0947" w:rsidRPr="007D0947">
        <w:rPr>
          <w:rFonts w:ascii="Arial" w:hAnsi="Arial" w:cs="Arial"/>
        </w:rPr>
        <w:t>as</w:t>
      </w:r>
      <w:r w:rsidRPr="007D0947">
        <w:rPr>
          <w:rFonts w:ascii="Arial" w:hAnsi="Arial" w:cs="Arial"/>
        </w:rPr>
        <w:t xml:space="preserve"> </w:t>
      </w:r>
      <w:r w:rsidR="007D0947" w:rsidRPr="007D0947">
        <w:rPr>
          <w:rFonts w:ascii="Arial" w:hAnsi="Arial" w:cs="Arial"/>
        </w:rPr>
        <w:t>‘</w:t>
      </w:r>
      <w:r w:rsidRPr="007D0947">
        <w:rPr>
          <w:rFonts w:ascii="Arial" w:hAnsi="Arial" w:cs="Arial"/>
        </w:rPr>
        <w:t>behaviour that interferes with the autonomy of a person to make decisions about their reproductive health</w:t>
      </w:r>
      <w:r w:rsidR="007D0947" w:rsidRPr="007D0947">
        <w:rPr>
          <w:rFonts w:ascii="Arial" w:hAnsi="Arial" w:cs="Arial"/>
        </w:rPr>
        <w:t>’</w:t>
      </w:r>
      <w:r w:rsidRPr="00E927D4">
        <w:rPr>
          <w:rFonts w:ascii="Arial" w:hAnsi="Arial" w:cs="Arial"/>
        </w:rPr>
        <w:t>.</w:t>
      </w:r>
      <w:r w:rsidRPr="00E927D4">
        <w:rPr>
          <w:vertAlign w:val="superscript"/>
        </w:rPr>
        <w:footnoteReference w:id="168"/>
      </w:r>
      <w:r w:rsidRPr="00E927D4">
        <w:rPr>
          <w:rFonts w:ascii="Arial" w:hAnsi="Arial" w:cs="Arial"/>
        </w:rPr>
        <w:t xml:space="preserve"> Reproductive coercion</w:t>
      </w:r>
      <w:r w:rsidR="002906AF">
        <w:rPr>
          <w:rFonts w:ascii="Arial" w:hAnsi="Arial" w:cs="Arial"/>
        </w:rPr>
        <w:t>/abuse</w:t>
      </w:r>
      <w:r w:rsidRPr="00E927D4">
        <w:rPr>
          <w:rFonts w:ascii="Arial" w:hAnsi="Arial" w:cs="Arial"/>
        </w:rPr>
        <w:t xml:space="preserve"> contributes to negative health outcomes including poor mental health, unintended pregnancy and sexually transmitted infections.</w:t>
      </w:r>
      <w:r w:rsidRPr="00E927D4">
        <w:rPr>
          <w:rFonts w:ascii="Arial" w:hAnsi="Arial" w:cs="Arial"/>
          <w:vertAlign w:val="superscript"/>
        </w:rPr>
        <w:footnoteReference w:id="169"/>
      </w:r>
      <w:r w:rsidR="007D0947">
        <w:rPr>
          <w:rFonts w:ascii="Arial" w:hAnsi="Arial" w:cs="Arial"/>
        </w:rPr>
        <w:t xml:space="preserve"> </w:t>
      </w:r>
      <w:r w:rsidR="00794655" w:rsidRPr="00014552">
        <w:rPr>
          <w:rFonts w:ascii="Arial" w:hAnsi="Arial" w:cs="Arial"/>
        </w:rPr>
        <w:t>Although the rate of reproductive coercion</w:t>
      </w:r>
      <w:r w:rsidR="009D2791">
        <w:rPr>
          <w:rFonts w:ascii="Arial" w:hAnsi="Arial" w:cs="Arial"/>
        </w:rPr>
        <w:t>/abuse</w:t>
      </w:r>
      <w:r w:rsidR="00794655" w:rsidRPr="00014552">
        <w:rPr>
          <w:rFonts w:ascii="Arial" w:hAnsi="Arial" w:cs="Arial"/>
        </w:rPr>
        <w:t xml:space="preserve"> in Australia is unknown, </w:t>
      </w:r>
      <w:r w:rsidR="00794655" w:rsidRPr="717D599A">
        <w:rPr>
          <w:rFonts w:ascii="Arial" w:eastAsiaTheme="minorEastAsia" w:hAnsi="Arial" w:cs="Arial"/>
          <w:color w:val="000000" w:themeColor="text1"/>
          <w:kern w:val="24"/>
          <w:lang w:val="en-US"/>
        </w:rPr>
        <w:t>evidence shows women are at increased risk of experiencing intimate partner violence during pregnancy</w:t>
      </w:r>
      <w:r w:rsidR="00794655" w:rsidRPr="717D599A">
        <w:rPr>
          <w:rFonts w:ascii="Arial" w:eastAsiaTheme="minorEastAsia" w:hAnsi="Arial" w:cs="Arial"/>
          <w:color w:val="000000" w:themeColor="text1"/>
          <w:kern w:val="24"/>
          <w:vertAlign w:val="superscript"/>
          <w:lang w:val="en-US"/>
        </w:rPr>
        <w:footnoteReference w:id="170"/>
      </w:r>
      <w:r w:rsidR="00794655" w:rsidRPr="717D599A">
        <w:rPr>
          <w:rFonts w:ascii="Arial" w:eastAsiaTheme="minorEastAsia" w:hAnsi="Arial" w:cs="Arial"/>
          <w:color w:val="000000" w:themeColor="text1"/>
          <w:kern w:val="24"/>
          <w:lang w:val="en-US"/>
        </w:rPr>
        <w:t xml:space="preserve"> and that unintended pregnancy occurs more commonly in relationships where the woman experiences violence</w:t>
      </w:r>
      <w:r w:rsidR="009D2791" w:rsidRPr="717D599A">
        <w:rPr>
          <w:rFonts w:ascii="Arial" w:eastAsiaTheme="minorEastAsia" w:hAnsi="Arial" w:cs="Arial"/>
          <w:color w:val="000000" w:themeColor="text1"/>
          <w:kern w:val="24"/>
          <w:lang w:val="en-US"/>
        </w:rPr>
        <w:t>.</w:t>
      </w:r>
      <w:r w:rsidR="00794655" w:rsidRPr="717D599A">
        <w:rPr>
          <w:rFonts w:ascii="Arial" w:eastAsiaTheme="minorEastAsia" w:hAnsi="Arial" w:cs="Arial"/>
          <w:color w:val="000000" w:themeColor="text1"/>
          <w:kern w:val="24"/>
          <w:vertAlign w:val="superscript"/>
          <w:lang w:val="en-US"/>
        </w:rPr>
        <w:footnoteReference w:id="171"/>
      </w:r>
      <w:r w:rsidR="00794655" w:rsidRPr="00014552">
        <w:rPr>
          <w:rFonts w:ascii="Arial" w:hAnsi="Arial" w:cs="Arial"/>
        </w:rPr>
        <w:t xml:space="preserve"> </w:t>
      </w:r>
    </w:p>
    <w:p w14:paraId="7B22997B" w14:textId="6A31E4BB" w:rsidR="00C100EA" w:rsidRDefault="009D2791" w:rsidP="006457DA">
      <w:pPr>
        <w:spacing w:after="120" w:line="276" w:lineRule="auto"/>
        <w:jc w:val="both"/>
        <w:rPr>
          <w:rFonts w:ascii="Arial" w:hAnsi="Arial" w:cs="Arial"/>
        </w:rPr>
      </w:pPr>
      <w:r>
        <w:rPr>
          <w:rFonts w:ascii="Arial" w:hAnsi="Arial" w:cs="Arial"/>
        </w:rPr>
        <w:t>While reproductive</w:t>
      </w:r>
      <w:r w:rsidR="00794655" w:rsidRPr="00014552">
        <w:rPr>
          <w:rFonts w:ascii="Arial" w:hAnsi="Arial" w:cs="Arial"/>
        </w:rPr>
        <w:t xml:space="preserve"> </w:t>
      </w:r>
      <w:r>
        <w:rPr>
          <w:rFonts w:ascii="Arial" w:hAnsi="Arial" w:cs="Arial"/>
        </w:rPr>
        <w:t xml:space="preserve">coercion/abuse </w:t>
      </w:r>
      <w:r w:rsidR="00FF2C8C">
        <w:rPr>
          <w:rFonts w:ascii="Arial" w:hAnsi="Arial" w:cs="Arial"/>
        </w:rPr>
        <w:t xml:space="preserve">is a form of violence against women and </w:t>
      </w:r>
      <w:r w:rsidR="00794655" w:rsidRPr="00014552">
        <w:rPr>
          <w:rFonts w:ascii="Arial" w:hAnsi="Arial" w:cs="Arial"/>
        </w:rPr>
        <w:t>shares the same gendered driver</w:t>
      </w:r>
      <w:r w:rsidR="00FF2C8C">
        <w:rPr>
          <w:rFonts w:ascii="Arial" w:hAnsi="Arial" w:cs="Arial"/>
        </w:rPr>
        <w:t>s</w:t>
      </w:r>
      <w:r>
        <w:rPr>
          <w:rFonts w:ascii="Arial" w:hAnsi="Arial" w:cs="Arial"/>
        </w:rPr>
        <w:t>,</w:t>
      </w:r>
      <w:r w:rsidR="00FF2C8C">
        <w:rPr>
          <w:rFonts w:ascii="Arial" w:hAnsi="Arial" w:cs="Arial"/>
        </w:rPr>
        <w:t xml:space="preserve"> it is not explicitly addressed in primary prevention and response frameworks and this gap needs to be addressed. </w:t>
      </w:r>
      <w:r w:rsidR="00394286">
        <w:rPr>
          <w:rFonts w:ascii="Arial" w:hAnsi="Arial" w:cs="Arial"/>
        </w:rPr>
        <w:t>The mainstream health, sexual and reproductive health and violence against women sectors all need increased understanding of how the gendered drivers of violence may manifest in the context of</w:t>
      </w:r>
      <w:r w:rsidR="00794655" w:rsidRPr="00014552">
        <w:rPr>
          <w:rFonts w:ascii="Arial" w:hAnsi="Arial" w:cs="Arial"/>
        </w:rPr>
        <w:t xml:space="preserve"> </w:t>
      </w:r>
      <w:r w:rsidR="00212F47" w:rsidRPr="00014552">
        <w:rPr>
          <w:rFonts w:ascii="Arial" w:hAnsi="Arial" w:cs="Arial"/>
        </w:rPr>
        <w:t>sexual and reproductive health</w:t>
      </w:r>
      <w:r w:rsidR="00394286">
        <w:rPr>
          <w:rFonts w:ascii="Arial" w:hAnsi="Arial" w:cs="Arial"/>
        </w:rPr>
        <w:t>, as well as</w:t>
      </w:r>
      <w:r w:rsidR="00794655" w:rsidRPr="00014552">
        <w:rPr>
          <w:rFonts w:ascii="Arial" w:hAnsi="Arial" w:cs="Arial"/>
        </w:rPr>
        <w:t xml:space="preserve"> </w:t>
      </w:r>
      <w:r w:rsidR="00394286">
        <w:rPr>
          <w:rFonts w:ascii="Arial" w:hAnsi="Arial" w:cs="Arial"/>
        </w:rPr>
        <w:t>how to identify and respond to reproductive coercion/abuse, including through referral of women to sexual and reproductive health services that will enable them to</w:t>
      </w:r>
      <w:r w:rsidR="00794655" w:rsidRPr="00014552">
        <w:rPr>
          <w:rFonts w:ascii="Arial" w:hAnsi="Arial" w:cs="Arial"/>
        </w:rPr>
        <w:t xml:space="preserve"> assert control o</w:t>
      </w:r>
      <w:r w:rsidR="00FF2C8C">
        <w:rPr>
          <w:rFonts w:ascii="Arial" w:hAnsi="Arial" w:cs="Arial"/>
        </w:rPr>
        <w:t>ver</w:t>
      </w:r>
      <w:r w:rsidR="00794655" w:rsidRPr="00014552">
        <w:rPr>
          <w:rFonts w:ascii="Arial" w:hAnsi="Arial" w:cs="Arial"/>
        </w:rPr>
        <w:t xml:space="preserve"> their reproductive </w:t>
      </w:r>
      <w:r w:rsidR="00FF2C8C">
        <w:rPr>
          <w:rFonts w:ascii="Arial" w:hAnsi="Arial" w:cs="Arial"/>
        </w:rPr>
        <w:t>rights and choices</w:t>
      </w:r>
      <w:r w:rsidR="00794655" w:rsidRPr="00014552">
        <w:rPr>
          <w:rFonts w:ascii="Arial" w:hAnsi="Arial" w:cs="Arial"/>
        </w:rPr>
        <w:t>.</w:t>
      </w:r>
      <w:r w:rsidR="00DF396F" w:rsidRPr="00DF396F">
        <w:rPr>
          <w:rFonts w:ascii="Arial" w:hAnsi="Arial" w:cs="Arial"/>
        </w:rPr>
        <w:t xml:space="preserve"> </w:t>
      </w:r>
      <w:r w:rsidR="00DF396F" w:rsidRPr="00014552">
        <w:rPr>
          <w:rFonts w:ascii="Arial" w:hAnsi="Arial" w:cs="Arial"/>
        </w:rPr>
        <w:t>This could include integrating information on reproductive coercion</w:t>
      </w:r>
      <w:r w:rsidR="00240680">
        <w:rPr>
          <w:rFonts w:ascii="Arial" w:hAnsi="Arial" w:cs="Arial"/>
        </w:rPr>
        <w:t>/abuse</w:t>
      </w:r>
      <w:r w:rsidR="00DF396F" w:rsidRPr="00014552">
        <w:rPr>
          <w:rFonts w:ascii="Arial" w:hAnsi="Arial" w:cs="Arial"/>
        </w:rPr>
        <w:t xml:space="preserve"> in</w:t>
      </w:r>
      <w:r w:rsidR="00DF396F">
        <w:rPr>
          <w:rFonts w:ascii="Arial" w:hAnsi="Arial" w:cs="Arial"/>
        </w:rPr>
        <w:t>to</w:t>
      </w:r>
      <w:r w:rsidR="00DF396F" w:rsidRPr="00014552">
        <w:rPr>
          <w:rFonts w:ascii="Arial" w:hAnsi="Arial" w:cs="Arial"/>
        </w:rPr>
        <w:t xml:space="preserve"> prevention of violence against women material targeting young people </w:t>
      </w:r>
      <w:r w:rsidR="006A1466">
        <w:rPr>
          <w:rFonts w:ascii="Arial" w:hAnsi="Arial" w:cs="Arial"/>
        </w:rPr>
        <w:t xml:space="preserve">(for example, contextualising the four gendered drivers of violence against women within a sexual and reproductive health context), </w:t>
      </w:r>
      <w:r w:rsidR="00DF396F" w:rsidRPr="00014552">
        <w:rPr>
          <w:rFonts w:ascii="Arial" w:hAnsi="Arial" w:cs="Arial"/>
        </w:rPr>
        <w:t xml:space="preserve">and ensuring links </w:t>
      </w:r>
      <w:r w:rsidR="00EE1DB8">
        <w:rPr>
          <w:rFonts w:ascii="Arial" w:hAnsi="Arial" w:cs="Arial"/>
        </w:rPr>
        <w:t xml:space="preserve">and referral </w:t>
      </w:r>
      <w:r w:rsidR="00EE1DB8">
        <w:rPr>
          <w:rFonts w:ascii="Arial" w:hAnsi="Arial" w:cs="Arial"/>
        </w:rPr>
        <w:lastRenderedPageBreak/>
        <w:t xml:space="preserve">pathways </w:t>
      </w:r>
      <w:r w:rsidR="00DF396F" w:rsidRPr="00014552">
        <w:rPr>
          <w:rFonts w:ascii="Arial" w:hAnsi="Arial" w:cs="Arial"/>
        </w:rPr>
        <w:t>between youth friendly sexual and reproductive health services and family violence response agencies.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blLook w:val="04A0" w:firstRow="1" w:lastRow="0" w:firstColumn="1" w:lastColumn="0" w:noHBand="0" w:noVBand="1"/>
      </w:tblPr>
      <w:tblGrid>
        <w:gridCol w:w="9016"/>
      </w:tblGrid>
      <w:tr w:rsidR="00A22DDA" w14:paraId="34FB3E0B" w14:textId="77777777" w:rsidTr="000239E1">
        <w:tc>
          <w:tcPr>
            <w:tcW w:w="9016" w:type="dxa"/>
            <w:shd w:val="clear" w:color="auto" w:fill="B9FAFF"/>
          </w:tcPr>
          <w:p w14:paraId="5F3EBCA2" w14:textId="50B6AF8B" w:rsidR="00A22DDA" w:rsidRDefault="00A22DDA" w:rsidP="006457DA">
            <w:pPr>
              <w:spacing w:after="120" w:line="276" w:lineRule="auto"/>
              <w:rPr>
                <w:rFonts w:ascii="Arial" w:hAnsi="Arial" w:cs="Arial"/>
                <w:b/>
                <w:bCs/>
              </w:rPr>
            </w:pPr>
            <w:r w:rsidRPr="00A22DDA">
              <w:rPr>
                <w:rFonts w:ascii="Arial" w:hAnsi="Arial" w:cs="Arial"/>
                <w:b/>
                <w:bCs/>
              </w:rPr>
              <w:t xml:space="preserve">Case study: Experience of reproductive coercion/abuse and the need for awareness and support across sectors. </w:t>
            </w:r>
          </w:p>
          <w:p w14:paraId="00F87F1A" w14:textId="621EAD77" w:rsidR="00F7588E" w:rsidRDefault="00A22DDA" w:rsidP="006457DA">
            <w:pPr>
              <w:spacing w:after="120" w:line="276" w:lineRule="auto"/>
              <w:jc w:val="both"/>
              <w:rPr>
                <w:rFonts w:ascii="Arial" w:hAnsi="Arial" w:cs="Arial"/>
              </w:rPr>
            </w:pPr>
            <w:r w:rsidRPr="00A22DDA">
              <w:rPr>
                <w:rFonts w:ascii="Arial" w:hAnsi="Arial" w:cs="Arial"/>
              </w:rPr>
              <w:t xml:space="preserve">A </w:t>
            </w:r>
            <w:proofErr w:type="gramStart"/>
            <w:r w:rsidRPr="00A22DDA">
              <w:rPr>
                <w:rFonts w:ascii="Arial" w:hAnsi="Arial" w:cs="Arial"/>
              </w:rPr>
              <w:t>25 year old</w:t>
            </w:r>
            <w:proofErr w:type="gramEnd"/>
            <w:r w:rsidRPr="00A22DDA">
              <w:rPr>
                <w:rFonts w:ascii="Arial" w:hAnsi="Arial" w:cs="Arial"/>
              </w:rPr>
              <w:t xml:space="preserve"> woman called </w:t>
            </w:r>
            <w:r w:rsidRPr="007D0947">
              <w:rPr>
                <w:rFonts w:ascii="Arial" w:hAnsi="Arial" w:cs="Arial"/>
                <w:i/>
                <w:iCs/>
              </w:rPr>
              <w:t>1800 My Options</w:t>
            </w:r>
            <w:r w:rsidRPr="00A22DDA">
              <w:rPr>
                <w:rFonts w:ascii="Arial" w:hAnsi="Arial" w:cs="Arial"/>
              </w:rPr>
              <w:t xml:space="preserve"> at 13 weeks’ gestation. The woman reported that she had experienced violence and reproductive coercion from the pregnancy partner. She first sought abortion information from her GP at 5 weeks’ gestation, and was told repeatedly to wait and see what would happen. Her GP eventually referred her for an ultrasound at 12 weeks, at which point she was past the gestational cut-off for local rural abortion services and needed to travel to Melbourne for services.</w:t>
            </w:r>
            <w:r w:rsidR="00F7588E">
              <w:rPr>
                <w:rFonts w:ascii="Arial" w:hAnsi="Arial" w:cs="Arial"/>
              </w:rPr>
              <w:t xml:space="preserve"> </w:t>
            </w:r>
          </w:p>
          <w:p w14:paraId="04D777C9" w14:textId="1CBE0AE0" w:rsidR="00A22DDA" w:rsidRDefault="00A22DDA" w:rsidP="006457DA">
            <w:pPr>
              <w:spacing w:after="120" w:line="276" w:lineRule="auto"/>
              <w:jc w:val="both"/>
              <w:rPr>
                <w:rFonts w:ascii="Arial" w:hAnsi="Arial" w:cs="Arial"/>
              </w:rPr>
            </w:pPr>
            <w:r w:rsidRPr="007D0947">
              <w:rPr>
                <w:rFonts w:ascii="Arial" w:hAnsi="Arial" w:cs="Arial"/>
                <w:i/>
                <w:iCs/>
              </w:rPr>
              <w:t>1800 My Options</w:t>
            </w:r>
            <w:r w:rsidRPr="00A22DDA">
              <w:rPr>
                <w:rFonts w:ascii="Arial" w:hAnsi="Arial" w:cs="Arial"/>
              </w:rPr>
              <w:t xml:space="preserve"> provided the caller with a direct referral into the Royal Women’s Hospital Abortion and Contraception Clinic, where she was able to receive the counselling, support and termination services that she needed. </w:t>
            </w:r>
          </w:p>
          <w:p w14:paraId="10C6C834" w14:textId="7BFBC8A9" w:rsidR="00A22DDA" w:rsidRDefault="00A22DDA" w:rsidP="006457DA">
            <w:pPr>
              <w:spacing w:after="120" w:line="276" w:lineRule="auto"/>
              <w:rPr>
                <w:rFonts w:ascii="Arial" w:hAnsi="Arial" w:cs="Arial"/>
              </w:rPr>
            </w:pPr>
            <w:r w:rsidRPr="00A22DDA">
              <w:rPr>
                <w:rFonts w:ascii="Arial" w:hAnsi="Arial" w:cs="Arial"/>
              </w:rPr>
              <w:t>This case study demonstrates that an effective approach to preventing and responding to reproductive coercion/abuse requires increased understanding and collaboration between the health and violence against women sectors.</w:t>
            </w:r>
          </w:p>
        </w:tc>
      </w:tr>
    </w:tbl>
    <w:p w14:paraId="3E0B8B88" w14:textId="2F43DD8C" w:rsidR="00646342" w:rsidRDefault="00394286" w:rsidP="007D0947">
      <w:pPr>
        <w:spacing w:before="120" w:after="120" w:line="276" w:lineRule="auto"/>
        <w:jc w:val="both"/>
        <w:rPr>
          <w:rFonts w:ascii="Arial" w:hAnsi="Arial" w:cs="Arial"/>
        </w:rPr>
      </w:pPr>
      <w:r>
        <w:rPr>
          <w:rFonts w:ascii="Arial" w:hAnsi="Arial" w:cs="Arial"/>
        </w:rPr>
        <w:t>As noted in the section of this submission on sexual and reproductive health, there is also a need for comprehensive s</w:t>
      </w:r>
      <w:r w:rsidRPr="00014552">
        <w:rPr>
          <w:rFonts w:ascii="Arial" w:hAnsi="Arial" w:cs="Arial"/>
        </w:rPr>
        <w:t xml:space="preserve">exuality </w:t>
      </w:r>
      <w:r>
        <w:rPr>
          <w:rFonts w:ascii="Arial" w:hAnsi="Arial" w:cs="Arial"/>
        </w:rPr>
        <w:t xml:space="preserve">and relationships </w:t>
      </w:r>
      <w:r w:rsidRPr="00014552">
        <w:rPr>
          <w:rFonts w:ascii="Arial" w:hAnsi="Arial" w:cs="Arial"/>
        </w:rPr>
        <w:t xml:space="preserve">education in schools </w:t>
      </w:r>
      <w:r>
        <w:rPr>
          <w:rFonts w:ascii="Arial" w:hAnsi="Arial" w:cs="Arial"/>
        </w:rPr>
        <w:t>that</w:t>
      </w:r>
      <w:r w:rsidRPr="00014552">
        <w:rPr>
          <w:rFonts w:ascii="Arial" w:hAnsi="Arial" w:cs="Arial"/>
        </w:rPr>
        <w:t xml:space="preserve"> covers all essential topics</w:t>
      </w:r>
      <w:r>
        <w:rPr>
          <w:rFonts w:ascii="Arial" w:hAnsi="Arial" w:cs="Arial"/>
        </w:rPr>
        <w:t>,</w:t>
      </w:r>
      <w:r w:rsidRPr="00014552">
        <w:rPr>
          <w:rFonts w:ascii="Arial" w:hAnsi="Arial" w:cs="Arial"/>
        </w:rPr>
        <w:t xml:space="preserve"> including abortion, contraception</w:t>
      </w:r>
      <w:r>
        <w:rPr>
          <w:rFonts w:ascii="Arial" w:hAnsi="Arial" w:cs="Arial"/>
        </w:rPr>
        <w:t xml:space="preserve"> and </w:t>
      </w:r>
      <w:r w:rsidRPr="00014552">
        <w:rPr>
          <w:rFonts w:ascii="Arial" w:hAnsi="Arial" w:cs="Arial"/>
        </w:rPr>
        <w:t xml:space="preserve">bodily autonomy, and </w:t>
      </w:r>
      <w:r>
        <w:rPr>
          <w:rFonts w:ascii="Arial" w:hAnsi="Arial" w:cs="Arial"/>
        </w:rPr>
        <w:t xml:space="preserve">includes a </w:t>
      </w:r>
      <w:r w:rsidRPr="00014552">
        <w:rPr>
          <w:rFonts w:ascii="Arial" w:hAnsi="Arial" w:cs="Arial"/>
        </w:rPr>
        <w:t>gender and power analysis</w:t>
      </w:r>
      <w:r>
        <w:rPr>
          <w:rFonts w:ascii="Arial" w:hAnsi="Arial" w:cs="Arial"/>
        </w:rPr>
        <w:t xml:space="preserve"> across all content</w:t>
      </w:r>
      <w:r w:rsidRPr="00014552">
        <w:rPr>
          <w:rFonts w:ascii="Arial" w:hAnsi="Arial" w:cs="Arial"/>
        </w:rPr>
        <w:t xml:space="preserve">, </w:t>
      </w:r>
      <w:r>
        <w:rPr>
          <w:rFonts w:ascii="Arial" w:hAnsi="Arial" w:cs="Arial"/>
        </w:rPr>
        <w:t xml:space="preserve">to support efforts to </w:t>
      </w:r>
      <w:r w:rsidRPr="00014552">
        <w:rPr>
          <w:rFonts w:ascii="Arial" w:hAnsi="Arial" w:cs="Arial"/>
        </w:rPr>
        <w:t>prevent</w:t>
      </w:r>
      <w:r>
        <w:rPr>
          <w:rFonts w:ascii="Arial" w:hAnsi="Arial" w:cs="Arial"/>
        </w:rPr>
        <w:t xml:space="preserve"> sexual violence and</w:t>
      </w:r>
      <w:r w:rsidRPr="00014552">
        <w:rPr>
          <w:rFonts w:ascii="Arial" w:hAnsi="Arial" w:cs="Arial"/>
        </w:rPr>
        <w:t xml:space="preserve"> reproductive coercion</w:t>
      </w:r>
      <w:r w:rsidR="00240680">
        <w:rPr>
          <w:rFonts w:ascii="Arial" w:hAnsi="Arial" w:cs="Arial"/>
        </w:rPr>
        <w:t>/abuse</w:t>
      </w:r>
      <w:r w:rsidRPr="00014552">
        <w:rPr>
          <w:rFonts w:ascii="Arial" w:hAnsi="Arial" w:cs="Arial"/>
        </w:rPr>
        <w:t xml:space="preserve">. </w:t>
      </w:r>
    </w:p>
    <w:p w14:paraId="0C72E98A" w14:textId="5645511D" w:rsidR="00134ABB" w:rsidRPr="00394286" w:rsidRDefault="00394286" w:rsidP="006457DA">
      <w:pPr>
        <w:spacing w:after="120" w:line="276" w:lineRule="auto"/>
        <w:jc w:val="both"/>
        <w:rPr>
          <w:rFonts w:ascii="Arial" w:hAnsi="Arial" w:cs="Arial"/>
        </w:rPr>
      </w:pPr>
      <w:r w:rsidRPr="00014552">
        <w:rPr>
          <w:rFonts w:ascii="Arial" w:hAnsi="Arial" w:cs="Arial"/>
        </w:rPr>
        <w:t xml:space="preserve">This needs to be coupled with access to </w:t>
      </w:r>
      <w:r>
        <w:rPr>
          <w:rFonts w:ascii="Arial" w:hAnsi="Arial" w:cs="Arial"/>
        </w:rPr>
        <w:t xml:space="preserve">youth-friendly </w:t>
      </w:r>
      <w:r w:rsidRPr="00014552">
        <w:rPr>
          <w:rFonts w:ascii="Arial" w:hAnsi="Arial" w:cs="Arial"/>
        </w:rPr>
        <w:t xml:space="preserve">sexual and reproductive health </w:t>
      </w:r>
      <w:r>
        <w:rPr>
          <w:rFonts w:ascii="Arial" w:hAnsi="Arial" w:cs="Arial"/>
        </w:rPr>
        <w:t xml:space="preserve">information and </w:t>
      </w:r>
      <w:bookmarkStart w:id="52" w:name="_Hlk58504170"/>
      <w:r w:rsidRPr="00014552">
        <w:rPr>
          <w:rFonts w:ascii="Arial" w:hAnsi="Arial" w:cs="Arial"/>
        </w:rPr>
        <w:t>services</w:t>
      </w:r>
      <w:r>
        <w:rPr>
          <w:rFonts w:ascii="Arial" w:hAnsi="Arial" w:cs="Arial"/>
        </w:rPr>
        <w:t xml:space="preserve"> which are </w:t>
      </w:r>
      <w:r w:rsidRPr="00014552">
        <w:rPr>
          <w:rFonts w:ascii="Arial" w:hAnsi="Arial" w:cs="Arial"/>
        </w:rPr>
        <w:t>culturally safe and accessible for all young people</w:t>
      </w:r>
      <w:r>
        <w:rPr>
          <w:rFonts w:ascii="Arial" w:hAnsi="Arial" w:cs="Arial"/>
        </w:rPr>
        <w:t>,</w:t>
      </w:r>
      <w:r w:rsidRPr="00014552">
        <w:rPr>
          <w:rFonts w:ascii="Arial" w:hAnsi="Arial" w:cs="Arial"/>
        </w:rPr>
        <w:t xml:space="preserve"> including those with a disability, Aboriginal and Torres </w:t>
      </w:r>
      <w:r>
        <w:rPr>
          <w:rFonts w:ascii="Arial" w:hAnsi="Arial" w:cs="Arial"/>
        </w:rPr>
        <w:t>Strait</w:t>
      </w:r>
      <w:r w:rsidRPr="00014552">
        <w:rPr>
          <w:rFonts w:ascii="Arial" w:hAnsi="Arial" w:cs="Arial"/>
        </w:rPr>
        <w:t xml:space="preserve"> Islander young people, and migrant and refugee young people, recognising different populations</w:t>
      </w:r>
      <w:r>
        <w:rPr>
          <w:rFonts w:ascii="Arial" w:hAnsi="Arial" w:cs="Arial"/>
        </w:rPr>
        <w:t>’</w:t>
      </w:r>
      <w:r w:rsidRPr="00014552">
        <w:rPr>
          <w:rFonts w:ascii="Arial" w:hAnsi="Arial" w:cs="Arial"/>
        </w:rPr>
        <w:t xml:space="preserve"> unique experience</w:t>
      </w:r>
      <w:r>
        <w:rPr>
          <w:rFonts w:ascii="Arial" w:hAnsi="Arial" w:cs="Arial"/>
        </w:rPr>
        <w:t>s</w:t>
      </w:r>
      <w:r w:rsidRPr="00014552">
        <w:rPr>
          <w:rFonts w:ascii="Arial" w:hAnsi="Arial" w:cs="Arial"/>
        </w:rPr>
        <w:t xml:space="preserve"> of reproductive coercion</w:t>
      </w:r>
      <w:bookmarkEnd w:id="52"/>
      <w:r w:rsidR="002906AF">
        <w:rPr>
          <w:rFonts w:ascii="Arial" w:hAnsi="Arial" w:cs="Arial"/>
        </w:rPr>
        <w:t>/abuse</w:t>
      </w:r>
      <w:r w:rsidRPr="00014552">
        <w:rPr>
          <w:rFonts w:ascii="Arial" w:hAnsi="Arial" w:cs="Arial"/>
        </w:rPr>
        <w:t>.</w:t>
      </w:r>
      <w:r w:rsidR="001C7CA5">
        <w:rPr>
          <w:rStyle w:val="FootnoteReference"/>
          <w:rFonts w:ascii="Arial" w:hAnsi="Arial" w:cs="Arial"/>
        </w:rPr>
        <w:footnoteReference w:id="172"/>
      </w:r>
      <w:r w:rsidRPr="00014552">
        <w:rPr>
          <w:rFonts w:ascii="Arial" w:hAnsi="Arial" w:cs="Arial"/>
        </w:rPr>
        <w:t xml:space="preserve"> </w:t>
      </w:r>
    </w:p>
    <w:p w14:paraId="2BC0E604" w14:textId="3FAC9BCF" w:rsidR="00394286" w:rsidRPr="00394286" w:rsidRDefault="00394286" w:rsidP="006457DA">
      <w:pPr>
        <w:pStyle w:val="Heading2"/>
        <w:spacing w:before="0" w:after="120" w:line="276" w:lineRule="auto"/>
        <w:rPr>
          <w:b/>
          <w:bCs/>
        </w:rPr>
      </w:pPr>
      <w:bookmarkStart w:id="53" w:name="_Toc59045894"/>
      <w:r w:rsidRPr="00394286">
        <w:rPr>
          <w:b/>
          <w:bCs/>
        </w:rPr>
        <w:t xml:space="preserve">Evaluating and enhancing critical media </w:t>
      </w:r>
      <w:r>
        <w:rPr>
          <w:b/>
          <w:bCs/>
        </w:rPr>
        <w:t>literacy</w:t>
      </w:r>
      <w:r w:rsidRPr="00394286">
        <w:rPr>
          <w:b/>
          <w:bCs/>
        </w:rPr>
        <w:t xml:space="preserve"> for young people</w:t>
      </w:r>
      <w:bookmarkEnd w:id="53"/>
    </w:p>
    <w:p w14:paraId="5EF5951E" w14:textId="64A2926A" w:rsidR="00817852" w:rsidRDefault="00817852" w:rsidP="006457DA">
      <w:pPr>
        <w:spacing w:after="120" w:line="276" w:lineRule="auto"/>
        <w:jc w:val="both"/>
        <w:rPr>
          <w:rFonts w:ascii="Arial" w:hAnsi="Arial" w:cs="Arial"/>
        </w:rPr>
      </w:pPr>
      <w:r>
        <w:rPr>
          <w:rFonts w:ascii="Arial" w:hAnsi="Arial" w:cs="Arial"/>
        </w:rPr>
        <w:t>While the Victorian Government has invested in a range of initiatives to prevent violence against women in schools, sports clubs and workplaces, there has only been a limited focus on the media and advertising setting.</w:t>
      </w:r>
    </w:p>
    <w:p w14:paraId="3F8807D8" w14:textId="6712EBB8" w:rsidR="00817852" w:rsidRPr="00817852" w:rsidRDefault="00817852" w:rsidP="006457DA">
      <w:pPr>
        <w:spacing w:after="120" w:line="276" w:lineRule="auto"/>
        <w:jc w:val="both"/>
        <w:rPr>
          <w:rFonts w:ascii="Arial" w:hAnsi="Arial" w:cs="Arial"/>
        </w:rPr>
      </w:pPr>
      <w:r>
        <w:rPr>
          <w:rFonts w:ascii="Arial" w:hAnsi="Arial" w:cs="Arial"/>
        </w:rPr>
        <w:t>Media and a</w:t>
      </w:r>
      <w:r w:rsidRPr="00817852">
        <w:rPr>
          <w:rFonts w:ascii="Arial" w:hAnsi="Arial" w:cs="Arial"/>
        </w:rPr>
        <w:t xml:space="preserve">dvertising </w:t>
      </w:r>
      <w:r>
        <w:rPr>
          <w:rFonts w:ascii="Arial" w:hAnsi="Arial" w:cs="Arial"/>
        </w:rPr>
        <w:t>are</w:t>
      </w:r>
      <w:r w:rsidRPr="00817852">
        <w:rPr>
          <w:rFonts w:ascii="Arial" w:hAnsi="Arial" w:cs="Arial"/>
        </w:rPr>
        <w:t xml:space="preserve"> pervasive in all aspects of our everyday lives, and </w:t>
      </w:r>
      <w:r>
        <w:rPr>
          <w:rFonts w:ascii="Arial" w:hAnsi="Arial" w:cs="Arial"/>
        </w:rPr>
        <w:t>are</w:t>
      </w:r>
      <w:r w:rsidRPr="00817852">
        <w:rPr>
          <w:rFonts w:ascii="Arial" w:hAnsi="Arial" w:cs="Arial"/>
        </w:rPr>
        <w:t xml:space="preserve"> highly influential in shaping gendered norms, attitudes and behaviour. While </w:t>
      </w:r>
      <w:r>
        <w:rPr>
          <w:rFonts w:ascii="Arial" w:hAnsi="Arial" w:cs="Arial"/>
        </w:rPr>
        <w:t xml:space="preserve">media and </w:t>
      </w:r>
      <w:r w:rsidRPr="00817852">
        <w:rPr>
          <w:rFonts w:ascii="Arial" w:hAnsi="Arial" w:cs="Arial"/>
        </w:rPr>
        <w:t xml:space="preserve">advertising play a critical role in perpetuating the attitudes, beliefs and behaviours that promote violence against women, </w:t>
      </w:r>
      <w:r>
        <w:rPr>
          <w:rFonts w:ascii="Arial" w:hAnsi="Arial" w:cs="Arial"/>
        </w:rPr>
        <w:t>they</w:t>
      </w:r>
      <w:r w:rsidRPr="00817852">
        <w:rPr>
          <w:rFonts w:ascii="Arial" w:hAnsi="Arial" w:cs="Arial"/>
        </w:rPr>
        <w:t xml:space="preserve"> can also play a significant role in contributing to their transformation and promoting gender equity. </w:t>
      </w:r>
    </w:p>
    <w:p w14:paraId="7AC50D42" w14:textId="29691090" w:rsidR="00817852" w:rsidRPr="00817852" w:rsidRDefault="00817852" w:rsidP="006457DA">
      <w:pPr>
        <w:spacing w:after="120" w:line="276" w:lineRule="auto"/>
        <w:jc w:val="both"/>
        <w:rPr>
          <w:rFonts w:ascii="Arial" w:hAnsi="Arial" w:cs="Arial"/>
        </w:rPr>
      </w:pPr>
      <w:r w:rsidRPr="00817852">
        <w:rPr>
          <w:rFonts w:ascii="Arial" w:hAnsi="Arial" w:cs="Arial"/>
        </w:rPr>
        <w:lastRenderedPageBreak/>
        <w:t>In 2018, W</w:t>
      </w:r>
      <w:r w:rsidR="007D0947">
        <w:rPr>
          <w:rFonts w:ascii="Arial" w:hAnsi="Arial" w:cs="Arial"/>
        </w:rPr>
        <w:t>HV</w:t>
      </w:r>
      <w:r w:rsidRPr="00817852">
        <w:rPr>
          <w:rFonts w:ascii="Arial" w:hAnsi="Arial" w:cs="Arial"/>
        </w:rPr>
        <w:t xml:space="preserve"> undertook</w:t>
      </w:r>
      <w:r w:rsidR="00F7588E">
        <w:rPr>
          <w:rFonts w:ascii="Arial" w:hAnsi="Arial" w:cs="Arial"/>
        </w:rPr>
        <w:t xml:space="preserve"> </w:t>
      </w:r>
      <w:r w:rsidRPr="005B1162">
        <w:rPr>
          <w:rFonts w:ascii="Arial" w:hAnsi="Arial" w:cs="Arial"/>
        </w:rPr>
        <w:t>research</w:t>
      </w:r>
      <w:r w:rsidR="00F7588E">
        <w:rPr>
          <w:rFonts w:ascii="Arial" w:hAnsi="Arial" w:cs="Arial"/>
        </w:rPr>
        <w:t xml:space="preserve"> </w:t>
      </w:r>
      <w:r w:rsidRPr="00817852">
        <w:rPr>
          <w:rFonts w:ascii="Arial" w:hAnsi="Arial" w:cs="Arial"/>
        </w:rPr>
        <w:t>examining the links between advertising and gender inequality.</w:t>
      </w:r>
      <w:r w:rsidR="005B1162">
        <w:rPr>
          <w:rStyle w:val="FootnoteReference"/>
          <w:rFonts w:ascii="Arial" w:hAnsi="Arial" w:cs="Arial"/>
        </w:rPr>
        <w:footnoteReference w:id="173"/>
      </w:r>
      <w:r w:rsidR="007D0947">
        <w:rPr>
          <w:rFonts w:ascii="Arial" w:hAnsi="Arial" w:cs="Arial"/>
        </w:rPr>
        <w:t xml:space="preserve"> </w:t>
      </w:r>
      <w:r w:rsidRPr="00817852">
        <w:rPr>
          <w:rFonts w:ascii="Arial" w:hAnsi="Arial" w:cs="Arial"/>
        </w:rPr>
        <w:t>The research showed that girls and women are still under-represented in advertising and depicted in stereotyped ways. It also showed that portrayals of girls and women have become more sexualised and objectifying over time</w:t>
      </w:r>
      <w:r w:rsidR="007D0947">
        <w:rPr>
          <w:rFonts w:ascii="Arial" w:hAnsi="Arial" w:cs="Arial"/>
        </w:rPr>
        <w:t xml:space="preserve">, and </w:t>
      </w:r>
      <w:r w:rsidRPr="00817852">
        <w:rPr>
          <w:rFonts w:ascii="Arial" w:hAnsi="Arial" w:cs="Arial"/>
        </w:rPr>
        <w:t>that ad</w:t>
      </w:r>
      <w:r>
        <w:rPr>
          <w:rFonts w:ascii="Arial" w:hAnsi="Arial" w:cs="Arial"/>
        </w:rPr>
        <w:t>vertising often</w:t>
      </w:r>
      <w:r w:rsidRPr="00817852">
        <w:rPr>
          <w:rFonts w:ascii="Arial" w:hAnsi="Arial" w:cs="Arial"/>
        </w:rPr>
        <w:t xml:space="preserve"> reinforce</w:t>
      </w:r>
      <w:r>
        <w:rPr>
          <w:rFonts w:ascii="Arial" w:hAnsi="Arial" w:cs="Arial"/>
        </w:rPr>
        <w:t>s</w:t>
      </w:r>
      <w:r w:rsidRPr="00817852">
        <w:rPr>
          <w:rFonts w:ascii="Arial" w:hAnsi="Arial" w:cs="Arial"/>
        </w:rPr>
        <w:t xml:space="preserve"> attitudes and behaviours that </w:t>
      </w:r>
      <w:r>
        <w:rPr>
          <w:rFonts w:ascii="Arial" w:hAnsi="Arial" w:cs="Arial"/>
        </w:rPr>
        <w:t>drive</w:t>
      </w:r>
      <w:r w:rsidRPr="00817852">
        <w:rPr>
          <w:rFonts w:ascii="Arial" w:hAnsi="Arial" w:cs="Arial"/>
        </w:rPr>
        <w:t xml:space="preserve"> violence against women</w:t>
      </w:r>
      <w:r>
        <w:rPr>
          <w:rFonts w:ascii="Arial" w:hAnsi="Arial" w:cs="Arial"/>
        </w:rPr>
        <w:t>.</w:t>
      </w:r>
      <w:r>
        <w:rPr>
          <w:rStyle w:val="FootnoteReference"/>
          <w:rFonts w:ascii="Arial" w:hAnsi="Arial" w:cs="Arial"/>
        </w:rPr>
        <w:footnoteReference w:id="174"/>
      </w:r>
      <w:r w:rsidRPr="00817852">
        <w:rPr>
          <w:rFonts w:ascii="Arial" w:hAnsi="Arial" w:cs="Arial"/>
        </w:rPr>
        <w:t> </w:t>
      </w:r>
    </w:p>
    <w:p w14:paraId="4BD7EAE9" w14:textId="4A13E543" w:rsidR="00817852" w:rsidRDefault="00817852" w:rsidP="006457DA">
      <w:pPr>
        <w:spacing w:after="120" w:line="276" w:lineRule="auto"/>
        <w:jc w:val="both"/>
        <w:rPr>
          <w:rFonts w:ascii="Arial" w:hAnsi="Arial" w:cs="Arial"/>
        </w:rPr>
      </w:pPr>
      <w:r w:rsidRPr="00817852">
        <w:rPr>
          <w:rFonts w:ascii="Arial" w:hAnsi="Arial" w:cs="Arial"/>
        </w:rPr>
        <w:t xml:space="preserve">The Victorian Government has recognised the power of advertising in shaping social norms by funding </w:t>
      </w:r>
      <w:r w:rsidR="007D0947">
        <w:rPr>
          <w:rFonts w:ascii="Arial" w:hAnsi="Arial" w:cs="Arial"/>
        </w:rPr>
        <w:t>WHV</w:t>
      </w:r>
      <w:r w:rsidRPr="00817852">
        <w:rPr>
          <w:rFonts w:ascii="Arial" w:hAnsi="Arial" w:cs="Arial"/>
        </w:rPr>
        <w:t xml:space="preserve"> to lead a </w:t>
      </w:r>
      <w:hyperlink r:id="rId33" w:history="1">
        <w:r w:rsidRPr="005B1162">
          <w:rPr>
            <w:rStyle w:val="Hyperlink"/>
            <w:rFonts w:ascii="Arial" w:hAnsi="Arial" w:cs="Arial"/>
          </w:rPr>
          <w:t>project to address sexism in advertising</w:t>
        </w:r>
      </w:hyperlink>
      <w:r w:rsidRPr="00817852">
        <w:rPr>
          <w:rFonts w:ascii="Arial" w:hAnsi="Arial" w:cs="Arial"/>
        </w:rPr>
        <w:t xml:space="preserve">. The project represents the first coordinated effort in Australia to address the drivers of violence against women and promote gender equality in the advertising setting. </w:t>
      </w:r>
      <w:r w:rsidR="006B6CCF">
        <w:rPr>
          <w:rFonts w:ascii="Arial" w:hAnsi="Arial" w:cs="Arial"/>
        </w:rPr>
        <w:t xml:space="preserve">The project takes a whole-of-system approach to transforming advertising, including a </w:t>
      </w:r>
      <w:r w:rsidR="00743B7D">
        <w:rPr>
          <w:rFonts w:ascii="Arial" w:hAnsi="Arial" w:cs="Arial"/>
        </w:rPr>
        <w:t xml:space="preserve">focus on educating and empowering consumers. </w:t>
      </w:r>
    </w:p>
    <w:p w14:paraId="738A1CAA" w14:textId="72ACD393" w:rsidR="00817852" w:rsidRDefault="00817852" w:rsidP="006457DA">
      <w:pPr>
        <w:spacing w:after="120" w:line="276" w:lineRule="auto"/>
        <w:jc w:val="both"/>
        <w:rPr>
          <w:rFonts w:ascii="Arial" w:hAnsi="Arial" w:cs="Arial"/>
        </w:rPr>
      </w:pPr>
      <w:r w:rsidRPr="00EF1EEF">
        <w:rPr>
          <w:rFonts w:ascii="Arial" w:hAnsi="Arial" w:cs="Arial"/>
        </w:rPr>
        <w:t xml:space="preserve">A 2019 review of global and local promising practice to address sexist advertising </w:t>
      </w:r>
      <w:r w:rsidR="00EF1EEF" w:rsidRPr="00EF1EEF">
        <w:rPr>
          <w:rFonts w:ascii="Arial" w:hAnsi="Arial" w:cs="Arial"/>
        </w:rPr>
        <w:t xml:space="preserve">commissioned by </w:t>
      </w:r>
      <w:r w:rsidR="007D0947">
        <w:rPr>
          <w:rFonts w:ascii="Arial" w:hAnsi="Arial" w:cs="Arial"/>
        </w:rPr>
        <w:t>WHV</w:t>
      </w:r>
      <w:r w:rsidR="00EF1EEF" w:rsidRPr="00EF1EEF">
        <w:rPr>
          <w:rFonts w:ascii="Arial" w:hAnsi="Arial" w:cs="Arial"/>
        </w:rPr>
        <w:t xml:space="preserve"> </w:t>
      </w:r>
      <w:r w:rsidRPr="00EF1EEF">
        <w:rPr>
          <w:rFonts w:ascii="Arial" w:hAnsi="Arial" w:cs="Arial"/>
        </w:rPr>
        <w:t>as part of this project identified</w:t>
      </w:r>
      <w:r w:rsidR="00576745" w:rsidRPr="00EF1EEF">
        <w:rPr>
          <w:rFonts w:ascii="Arial" w:hAnsi="Arial" w:cs="Arial"/>
        </w:rPr>
        <w:t xml:space="preserve"> mixed evidence about the effectiveness of media liter</w:t>
      </w:r>
      <w:r w:rsidR="00576745">
        <w:rPr>
          <w:rFonts w:ascii="Arial" w:hAnsi="Arial" w:cs="Arial"/>
        </w:rPr>
        <w:t xml:space="preserve">acy education </w:t>
      </w:r>
      <w:r w:rsidR="00743B7D">
        <w:rPr>
          <w:rFonts w:ascii="Arial" w:hAnsi="Arial" w:cs="Arial"/>
        </w:rPr>
        <w:t xml:space="preserve">for young people </w:t>
      </w:r>
      <w:r w:rsidR="00576745">
        <w:rPr>
          <w:rFonts w:ascii="Arial" w:hAnsi="Arial" w:cs="Arial"/>
        </w:rPr>
        <w:t>and the need for further research and evaluation</w:t>
      </w:r>
      <w:r w:rsidR="00EF1EEF">
        <w:rPr>
          <w:rFonts w:ascii="Arial" w:hAnsi="Arial" w:cs="Arial"/>
        </w:rPr>
        <w:t>:</w:t>
      </w:r>
      <w:r w:rsidR="00D703A0">
        <w:rPr>
          <w:rStyle w:val="FootnoteReference"/>
          <w:rFonts w:ascii="Arial" w:hAnsi="Arial" w:cs="Arial"/>
        </w:rPr>
        <w:footnoteReference w:id="175"/>
      </w:r>
      <w:r w:rsidR="00576745">
        <w:rPr>
          <w:rFonts w:ascii="Arial" w:hAnsi="Arial" w:cs="Arial"/>
        </w:rPr>
        <w:t xml:space="preserve"> </w:t>
      </w:r>
    </w:p>
    <w:p w14:paraId="7182756C" w14:textId="3D91C890" w:rsidR="00576745" w:rsidRPr="00EF1EEF" w:rsidRDefault="00576745" w:rsidP="006457DA">
      <w:pPr>
        <w:spacing w:after="120" w:line="276" w:lineRule="auto"/>
        <w:jc w:val="both"/>
        <w:rPr>
          <w:rFonts w:ascii="Arial" w:hAnsi="Arial" w:cs="Arial"/>
          <w:i/>
          <w:iCs/>
          <w:sz w:val="20"/>
          <w:szCs w:val="20"/>
        </w:rPr>
      </w:pPr>
      <w:r w:rsidRPr="00EF1EEF">
        <w:rPr>
          <w:rFonts w:ascii="Arial" w:hAnsi="Arial" w:cs="Arial"/>
          <w:i/>
          <w:iCs/>
          <w:sz w:val="20"/>
          <w:szCs w:val="20"/>
        </w:rPr>
        <w:t xml:space="preserve">From a protectionist perspective, it has been argued that advertising literacy equips children with a capacity to identify and resist advertising content, however the evidence on this front is mixed (Hudders et al. 2017; Livingstone and Helsper 2006; Rozendaal et al. 2011). Similarly, the capacity for media literacy to empower has been questioned. For example, adolescent girls’ media literacy may help them to understand the techniques and messaging behind sexualised media content, but does not necessarily mitigate the harm that content continues to exert (Gill 2012). </w:t>
      </w:r>
      <w:proofErr w:type="gramStart"/>
      <w:r w:rsidRPr="00EF1EEF">
        <w:rPr>
          <w:rFonts w:ascii="Arial" w:hAnsi="Arial" w:cs="Arial"/>
          <w:i/>
          <w:iCs/>
          <w:sz w:val="20"/>
          <w:szCs w:val="20"/>
        </w:rPr>
        <w:t>Nevertheless</w:t>
      </w:r>
      <w:proofErr w:type="gramEnd"/>
      <w:r w:rsidRPr="00EF1EEF">
        <w:rPr>
          <w:rFonts w:ascii="Arial" w:hAnsi="Arial" w:cs="Arial"/>
          <w:i/>
          <w:iCs/>
          <w:sz w:val="20"/>
          <w:szCs w:val="20"/>
        </w:rPr>
        <w:t xml:space="preserve"> it has been argued that media literacy should be included in sex and/or respectful relationships education to aid young people in mitigating the impact of harmful representations (Papadopoulos 2010). This may comprise young people openly discussing their media consumption and the ways in which it informs their understanding around issues of love, sex, relationships and body image (Lumby and Albury 2008).</w:t>
      </w:r>
    </w:p>
    <w:p w14:paraId="56D95317" w14:textId="77777777" w:rsidR="002D7572" w:rsidRDefault="00AE7B4B" w:rsidP="006457DA">
      <w:pPr>
        <w:spacing w:after="120" w:line="276" w:lineRule="auto"/>
        <w:jc w:val="both"/>
        <w:rPr>
          <w:rFonts w:ascii="Arial" w:hAnsi="Arial" w:cs="Arial"/>
        </w:rPr>
      </w:pPr>
      <w:r>
        <w:rPr>
          <w:rFonts w:ascii="Arial" w:hAnsi="Arial" w:cs="Arial"/>
        </w:rPr>
        <w:t>It also identified</w:t>
      </w:r>
      <w:r w:rsidR="00EB1B9C">
        <w:rPr>
          <w:rFonts w:ascii="Arial" w:hAnsi="Arial" w:cs="Arial"/>
        </w:rPr>
        <w:t xml:space="preserve"> </w:t>
      </w:r>
      <w:r w:rsidR="00E45709">
        <w:rPr>
          <w:rFonts w:ascii="Arial" w:hAnsi="Arial" w:cs="Arial"/>
        </w:rPr>
        <w:t>gaps in comprehensive sexuality and relationships education</w:t>
      </w:r>
      <w:r w:rsidR="00745E27">
        <w:rPr>
          <w:rFonts w:ascii="Arial" w:hAnsi="Arial" w:cs="Arial"/>
        </w:rPr>
        <w:t xml:space="preserve"> covering these issues</w:t>
      </w:r>
      <w:r w:rsidR="00370515">
        <w:rPr>
          <w:rFonts w:ascii="Arial" w:hAnsi="Arial" w:cs="Arial"/>
        </w:rPr>
        <w:t xml:space="preserve"> in Australia</w:t>
      </w:r>
      <w:r w:rsidR="00745E27">
        <w:rPr>
          <w:rFonts w:ascii="Arial" w:hAnsi="Arial" w:cs="Arial"/>
        </w:rPr>
        <w:t>:</w:t>
      </w:r>
      <w:r w:rsidR="002D7572">
        <w:rPr>
          <w:rFonts w:ascii="Arial" w:hAnsi="Arial" w:cs="Arial"/>
        </w:rPr>
        <w:t xml:space="preserve"> </w:t>
      </w:r>
    </w:p>
    <w:p w14:paraId="07AC5048" w14:textId="3620E793" w:rsidR="00745E27" w:rsidRPr="002D7572" w:rsidRDefault="00745E27" w:rsidP="006457DA">
      <w:pPr>
        <w:spacing w:after="120" w:line="276" w:lineRule="auto"/>
        <w:jc w:val="both"/>
        <w:rPr>
          <w:rFonts w:ascii="Arial" w:hAnsi="Arial" w:cs="Arial"/>
          <w:sz w:val="20"/>
          <w:szCs w:val="20"/>
        </w:rPr>
      </w:pPr>
      <w:r w:rsidRPr="717D599A">
        <w:rPr>
          <w:rFonts w:ascii="Arial" w:hAnsi="Arial" w:cs="Arial"/>
          <w:i/>
          <w:iCs/>
          <w:sz w:val="20"/>
          <w:szCs w:val="20"/>
        </w:rPr>
        <w:t>Australian school curricula do not specifically focus on issues of sex, sexualisation, body image and gender stereotypes in relation to media and advertising content</w:t>
      </w:r>
      <w:r w:rsidR="00180308">
        <w:rPr>
          <w:rFonts w:ascii="Arial" w:hAnsi="Arial" w:cs="Arial"/>
          <w:i/>
          <w:iCs/>
          <w:sz w:val="20"/>
          <w:szCs w:val="20"/>
        </w:rPr>
        <w:t xml:space="preserve">… </w:t>
      </w:r>
      <w:r w:rsidRPr="717D599A">
        <w:rPr>
          <w:rFonts w:ascii="Arial" w:hAnsi="Arial" w:cs="Arial"/>
          <w:i/>
          <w:iCs/>
          <w:sz w:val="20"/>
          <w:szCs w:val="20"/>
        </w:rPr>
        <w:t>While there is some discussion of these issues, it is delivered in a piecemeal fashion and spread across a variety of units</w:t>
      </w:r>
      <w:r w:rsidR="002D7572" w:rsidRPr="717D599A">
        <w:rPr>
          <w:rFonts w:ascii="Arial" w:hAnsi="Arial" w:cs="Arial"/>
          <w:i/>
          <w:iCs/>
          <w:sz w:val="20"/>
          <w:szCs w:val="20"/>
        </w:rPr>
        <w:t>.</w:t>
      </w:r>
      <w:r w:rsidR="002D7572">
        <w:rPr>
          <w:rStyle w:val="FootnoteReference"/>
          <w:rFonts w:ascii="Arial" w:hAnsi="Arial" w:cs="Arial"/>
        </w:rPr>
        <w:footnoteReference w:id="176"/>
      </w:r>
    </w:p>
    <w:p w14:paraId="2CB3DFB0" w14:textId="35C8970A" w:rsidR="00817852" w:rsidRDefault="00095C7B" w:rsidP="006457DA">
      <w:pPr>
        <w:spacing w:after="120" w:line="276" w:lineRule="auto"/>
        <w:jc w:val="both"/>
        <w:rPr>
          <w:rFonts w:ascii="Arial" w:hAnsi="Arial" w:cs="Arial"/>
        </w:rPr>
      </w:pPr>
      <w:r w:rsidRPr="00095C7B">
        <w:rPr>
          <w:rFonts w:ascii="Arial" w:hAnsi="Arial" w:cs="Arial"/>
        </w:rPr>
        <w:t xml:space="preserve">By contrast, in the UK, media literacy </w:t>
      </w:r>
      <w:r w:rsidR="00E92552">
        <w:rPr>
          <w:rFonts w:ascii="Arial" w:hAnsi="Arial" w:cs="Arial"/>
        </w:rPr>
        <w:t>relating to</w:t>
      </w:r>
      <w:r w:rsidRPr="00095C7B">
        <w:rPr>
          <w:rFonts w:ascii="Arial" w:hAnsi="Arial" w:cs="Arial"/>
        </w:rPr>
        <w:t xml:space="preserve"> gender representations, body image and sexualisation is a specific focus within the Personal, Social, Health and Economic area mandated for all high school students</w:t>
      </w:r>
      <w:r w:rsidR="00025760">
        <w:rPr>
          <w:rFonts w:ascii="Arial" w:hAnsi="Arial" w:cs="Arial"/>
        </w:rPr>
        <w:t xml:space="preserve">, and </w:t>
      </w:r>
      <w:r w:rsidR="00065BC1" w:rsidRPr="00065BC1">
        <w:rPr>
          <w:rFonts w:ascii="Arial" w:hAnsi="Arial" w:cs="Arial"/>
        </w:rPr>
        <w:t>is reinforced through the provision of Media Smart resources for primary school aged children</w:t>
      </w:r>
      <w:r w:rsidR="00025760">
        <w:rPr>
          <w:rFonts w:ascii="Arial" w:hAnsi="Arial" w:cs="Arial"/>
        </w:rPr>
        <w:t>,</w:t>
      </w:r>
      <w:r w:rsidR="00B131F6">
        <w:rPr>
          <w:rFonts w:ascii="Arial" w:hAnsi="Arial" w:cs="Arial"/>
        </w:rPr>
        <w:t xml:space="preserve"> which help</w:t>
      </w:r>
      <w:r w:rsidR="00065BC1" w:rsidRPr="00065BC1">
        <w:rPr>
          <w:rFonts w:ascii="Arial" w:hAnsi="Arial" w:cs="Arial"/>
        </w:rPr>
        <w:t xml:space="preserve"> students explor</w:t>
      </w:r>
      <w:r w:rsidR="00B131F6">
        <w:rPr>
          <w:rFonts w:ascii="Arial" w:hAnsi="Arial" w:cs="Arial"/>
        </w:rPr>
        <w:t>e</w:t>
      </w:r>
      <w:r w:rsidR="00065BC1" w:rsidRPr="00065BC1">
        <w:rPr>
          <w:rFonts w:ascii="Arial" w:hAnsi="Arial" w:cs="Arial"/>
        </w:rPr>
        <w:t xml:space="preserve"> the relationship between advertising, gender representation and body image</w:t>
      </w:r>
      <w:r w:rsidR="004F7C3D">
        <w:rPr>
          <w:rFonts w:ascii="Arial" w:hAnsi="Arial" w:cs="Arial"/>
        </w:rPr>
        <w:t xml:space="preserve">. </w:t>
      </w:r>
      <w:r w:rsidR="00025760">
        <w:rPr>
          <w:rStyle w:val="FootnoteReference"/>
          <w:rFonts w:ascii="Arial" w:hAnsi="Arial" w:cs="Arial"/>
        </w:rPr>
        <w:footnoteReference w:id="177"/>
      </w:r>
    </w:p>
    <w:p w14:paraId="6ED01FD2" w14:textId="1FE2D6D3" w:rsidR="004F7C3D" w:rsidRDefault="004F7C3D" w:rsidP="006457DA">
      <w:pPr>
        <w:spacing w:after="120" w:line="276" w:lineRule="auto"/>
        <w:jc w:val="both"/>
        <w:rPr>
          <w:rFonts w:ascii="Arial" w:hAnsi="Arial" w:cs="Arial"/>
        </w:rPr>
      </w:pPr>
      <w:r>
        <w:rPr>
          <w:rFonts w:ascii="Arial" w:hAnsi="Arial" w:cs="Arial"/>
        </w:rPr>
        <w:lastRenderedPageBreak/>
        <w:t>The research concludes that</w:t>
      </w:r>
      <w:r w:rsidR="00025760">
        <w:rPr>
          <w:rFonts w:ascii="Arial" w:hAnsi="Arial" w:cs="Arial"/>
        </w:rPr>
        <w:t xml:space="preserve">: </w:t>
      </w:r>
      <w:r w:rsidR="00025760" w:rsidRPr="007D0947">
        <w:rPr>
          <w:rFonts w:ascii="Arial" w:hAnsi="Arial" w:cs="Arial"/>
          <w:i/>
          <w:iCs/>
        </w:rPr>
        <w:t>‘</w:t>
      </w:r>
      <w:r w:rsidRPr="007D0947">
        <w:rPr>
          <w:rFonts w:ascii="Arial" w:hAnsi="Arial" w:cs="Arial"/>
          <w:i/>
          <w:iCs/>
        </w:rPr>
        <w:t>Media and advertising literacy show some promise in their capacity to offer both protection and empowerment to young people by equipping them with the skills necessary to critically use and analyse sexist media and advertising content. However, a more explicit focus is perhaps required, as the Australian curriculum does not directly address issues of sexualisation and stereotyping in the media as it does in the United Kingdom.</w:t>
      </w:r>
      <w:r w:rsidR="00025760" w:rsidRPr="007D0947">
        <w:rPr>
          <w:rFonts w:ascii="Arial" w:hAnsi="Arial" w:cs="Arial"/>
          <w:i/>
          <w:iCs/>
        </w:rPr>
        <w:t>’</w:t>
      </w:r>
      <w:r w:rsidR="00542967">
        <w:rPr>
          <w:rStyle w:val="FootnoteReference"/>
          <w:rFonts w:ascii="Arial" w:hAnsi="Arial" w:cs="Arial"/>
        </w:rPr>
        <w:footnoteReference w:id="178"/>
      </w:r>
    </w:p>
    <w:p w14:paraId="0C25013F" w14:textId="50E2EC00" w:rsidR="00786EA1" w:rsidRDefault="00D019CE" w:rsidP="006457DA">
      <w:pPr>
        <w:spacing w:after="120" w:line="276" w:lineRule="auto"/>
        <w:jc w:val="both"/>
        <w:rPr>
          <w:rFonts w:ascii="Arial" w:hAnsi="Arial" w:cs="Arial"/>
        </w:rPr>
      </w:pPr>
      <w:r>
        <w:rPr>
          <w:rFonts w:ascii="Arial" w:hAnsi="Arial" w:cs="Arial"/>
        </w:rPr>
        <w:t xml:space="preserve">In line with this research, </w:t>
      </w:r>
      <w:r w:rsidR="002B1CA8">
        <w:rPr>
          <w:rFonts w:ascii="Arial" w:hAnsi="Arial" w:cs="Arial"/>
        </w:rPr>
        <w:t>W</w:t>
      </w:r>
      <w:r w:rsidR="007D0947">
        <w:rPr>
          <w:rFonts w:ascii="Arial" w:hAnsi="Arial" w:cs="Arial"/>
        </w:rPr>
        <w:t>HV</w:t>
      </w:r>
      <w:r w:rsidR="002B1CA8">
        <w:rPr>
          <w:rFonts w:ascii="Arial" w:hAnsi="Arial" w:cs="Arial"/>
        </w:rPr>
        <w:t xml:space="preserve"> recommends </w:t>
      </w:r>
      <w:r w:rsidR="00297151">
        <w:rPr>
          <w:rFonts w:ascii="Arial" w:hAnsi="Arial" w:cs="Arial"/>
        </w:rPr>
        <w:t xml:space="preserve">that </w:t>
      </w:r>
      <w:r w:rsidR="00E72017">
        <w:rPr>
          <w:rFonts w:ascii="Arial" w:hAnsi="Arial" w:cs="Arial"/>
        </w:rPr>
        <w:t xml:space="preserve">a </w:t>
      </w:r>
      <w:r>
        <w:rPr>
          <w:rFonts w:ascii="Arial" w:hAnsi="Arial" w:cs="Arial"/>
        </w:rPr>
        <w:t xml:space="preserve">more explicit focus on </w:t>
      </w:r>
      <w:r w:rsidR="00712627">
        <w:rPr>
          <w:rFonts w:ascii="Arial" w:hAnsi="Arial" w:cs="Arial"/>
        </w:rPr>
        <w:t xml:space="preserve">sex, </w:t>
      </w:r>
      <w:r>
        <w:rPr>
          <w:rFonts w:ascii="Arial" w:hAnsi="Arial" w:cs="Arial"/>
        </w:rPr>
        <w:t>sexualisation</w:t>
      </w:r>
      <w:r w:rsidR="00712627">
        <w:rPr>
          <w:rFonts w:ascii="Arial" w:hAnsi="Arial" w:cs="Arial"/>
        </w:rPr>
        <w:t>, body image</w:t>
      </w:r>
      <w:r>
        <w:rPr>
          <w:rFonts w:ascii="Arial" w:hAnsi="Arial" w:cs="Arial"/>
        </w:rPr>
        <w:t xml:space="preserve"> and gender stereotypes</w:t>
      </w:r>
      <w:r w:rsidR="00297151">
        <w:rPr>
          <w:rFonts w:ascii="Arial" w:hAnsi="Arial" w:cs="Arial"/>
        </w:rPr>
        <w:t xml:space="preserve"> </w:t>
      </w:r>
      <w:r>
        <w:rPr>
          <w:rFonts w:ascii="Arial" w:hAnsi="Arial" w:cs="Arial"/>
        </w:rPr>
        <w:t xml:space="preserve">in the media </w:t>
      </w:r>
      <w:r w:rsidR="00712627">
        <w:rPr>
          <w:rFonts w:ascii="Arial" w:hAnsi="Arial" w:cs="Arial"/>
        </w:rPr>
        <w:t>and advertising</w:t>
      </w:r>
      <w:r w:rsidR="004A4905">
        <w:rPr>
          <w:rFonts w:ascii="Arial" w:hAnsi="Arial" w:cs="Arial"/>
        </w:rPr>
        <w:t xml:space="preserve"> be included as part of </w:t>
      </w:r>
      <w:r w:rsidR="00B5572A">
        <w:rPr>
          <w:rFonts w:ascii="Arial" w:hAnsi="Arial" w:cs="Arial"/>
        </w:rPr>
        <w:t xml:space="preserve">comprehensive </w:t>
      </w:r>
      <w:r w:rsidR="0042108E">
        <w:rPr>
          <w:rFonts w:ascii="Arial" w:hAnsi="Arial" w:cs="Arial"/>
        </w:rPr>
        <w:t>sexuality and relationships education</w:t>
      </w:r>
      <w:r w:rsidR="009D7AC2">
        <w:rPr>
          <w:rFonts w:ascii="Arial" w:hAnsi="Arial" w:cs="Arial"/>
        </w:rPr>
        <w:t xml:space="preserve">, and that further research and evaluation be undertaken </w:t>
      </w:r>
      <w:r w:rsidR="00084DD8">
        <w:rPr>
          <w:rFonts w:ascii="Arial" w:hAnsi="Arial" w:cs="Arial"/>
        </w:rPr>
        <w:t xml:space="preserve">of media literacy interventions to test their effectiveness and </w:t>
      </w:r>
      <w:r w:rsidR="00510BA1">
        <w:rPr>
          <w:rFonts w:ascii="Arial" w:hAnsi="Arial" w:cs="Arial"/>
        </w:rPr>
        <w:t>further refine the approach.</w:t>
      </w:r>
      <w:r w:rsidR="00297151">
        <w:rPr>
          <w:rFonts w:ascii="Arial" w:hAnsi="Arial" w:cs="Arial"/>
        </w:rPr>
        <w:t xml:space="preserve"> </w:t>
      </w:r>
    </w:p>
    <w:p w14:paraId="329EFA70" w14:textId="1EFF21F9" w:rsidR="004559C2" w:rsidRPr="001C732A" w:rsidRDefault="00040F11" w:rsidP="006457DA">
      <w:pPr>
        <w:spacing w:after="120" w:line="276" w:lineRule="auto"/>
        <w:jc w:val="both"/>
        <w:rPr>
          <w:rFonts w:ascii="Arial" w:hAnsi="Arial" w:cs="Arial"/>
        </w:rPr>
      </w:pPr>
      <w:r>
        <w:rPr>
          <w:rFonts w:ascii="Arial" w:hAnsi="Arial" w:cs="Arial"/>
        </w:rPr>
        <w:t xml:space="preserve">If we are to counter </w:t>
      </w:r>
      <w:r w:rsidR="007A34A2">
        <w:rPr>
          <w:rFonts w:ascii="Arial" w:hAnsi="Arial" w:cs="Arial"/>
        </w:rPr>
        <w:t xml:space="preserve">(or harness) </w:t>
      </w:r>
      <w:r>
        <w:rPr>
          <w:rFonts w:ascii="Arial" w:hAnsi="Arial" w:cs="Arial"/>
        </w:rPr>
        <w:t xml:space="preserve">the powerful </w:t>
      </w:r>
      <w:r w:rsidR="008858D6">
        <w:rPr>
          <w:rFonts w:ascii="Arial" w:hAnsi="Arial" w:cs="Arial"/>
        </w:rPr>
        <w:t xml:space="preserve">influence of media and advertising, </w:t>
      </w:r>
      <w:r w:rsidR="004460EB">
        <w:rPr>
          <w:rFonts w:ascii="Arial" w:hAnsi="Arial" w:cs="Arial"/>
        </w:rPr>
        <w:t>t</w:t>
      </w:r>
      <w:r>
        <w:rPr>
          <w:rFonts w:ascii="Arial" w:hAnsi="Arial" w:cs="Arial"/>
        </w:rPr>
        <w:t xml:space="preserve">here is also a need to scale up projects </w:t>
      </w:r>
      <w:r w:rsidR="004460EB">
        <w:rPr>
          <w:rFonts w:ascii="Arial" w:hAnsi="Arial" w:cs="Arial"/>
        </w:rPr>
        <w:t xml:space="preserve">promoting change </w:t>
      </w:r>
      <w:r>
        <w:rPr>
          <w:rFonts w:ascii="Arial" w:hAnsi="Arial" w:cs="Arial"/>
        </w:rPr>
        <w:t>in th</w:t>
      </w:r>
      <w:r w:rsidR="004460EB">
        <w:rPr>
          <w:rFonts w:ascii="Arial" w:hAnsi="Arial" w:cs="Arial"/>
        </w:rPr>
        <w:t xml:space="preserve">is </w:t>
      </w:r>
      <w:r>
        <w:rPr>
          <w:rFonts w:ascii="Arial" w:hAnsi="Arial" w:cs="Arial"/>
        </w:rPr>
        <w:t>setting, such as W</w:t>
      </w:r>
      <w:r w:rsidR="007D0947">
        <w:rPr>
          <w:rFonts w:ascii="Arial" w:hAnsi="Arial" w:cs="Arial"/>
        </w:rPr>
        <w:t>HV’s</w:t>
      </w:r>
      <w:r w:rsidR="004460EB">
        <w:rPr>
          <w:rFonts w:ascii="Arial" w:hAnsi="Arial" w:cs="Arial"/>
        </w:rPr>
        <w:t xml:space="preserve"> </w:t>
      </w:r>
      <w:r w:rsidR="00E33437">
        <w:rPr>
          <w:rFonts w:ascii="Arial" w:hAnsi="Arial" w:cs="Arial"/>
        </w:rPr>
        <w:t>Gender Equality in Advertising project</w:t>
      </w:r>
      <w:r w:rsidR="00CF73D7">
        <w:rPr>
          <w:rFonts w:ascii="Arial" w:hAnsi="Arial" w:cs="Arial"/>
        </w:rPr>
        <w:t xml:space="preserve">. </w:t>
      </w:r>
    </w:p>
    <w:p w14:paraId="0020763A" w14:textId="003875A3" w:rsidR="00510BA1" w:rsidRPr="00510BA1" w:rsidRDefault="00510BA1" w:rsidP="006457DA">
      <w:pPr>
        <w:pStyle w:val="Heading2"/>
        <w:spacing w:before="0" w:after="120" w:line="276" w:lineRule="auto"/>
        <w:rPr>
          <w:b/>
          <w:bCs/>
        </w:rPr>
      </w:pPr>
      <w:bookmarkStart w:id="56" w:name="_Toc59045895"/>
      <w:r w:rsidRPr="00510BA1">
        <w:rPr>
          <w:b/>
          <w:bCs/>
        </w:rPr>
        <w:t>Challenging harmful attitudes and behaviours and rigid masculine gender norms</w:t>
      </w:r>
      <w:bookmarkEnd w:id="56"/>
    </w:p>
    <w:p w14:paraId="04ADC58F" w14:textId="7070F04C" w:rsidR="00860248" w:rsidRDefault="00E260F9" w:rsidP="006457DA">
      <w:pPr>
        <w:spacing w:after="120" w:line="276" w:lineRule="auto"/>
        <w:jc w:val="both"/>
        <w:rPr>
          <w:rFonts w:ascii="Arial" w:hAnsi="Arial" w:cs="Arial"/>
        </w:rPr>
      </w:pPr>
      <w:r w:rsidRPr="00014552">
        <w:rPr>
          <w:rFonts w:ascii="Arial" w:hAnsi="Arial" w:cs="Arial"/>
        </w:rPr>
        <w:t>Although recent research</w:t>
      </w:r>
      <w:r w:rsidR="00801A4A">
        <w:rPr>
          <w:rFonts w:ascii="Arial" w:hAnsi="Arial" w:cs="Arial"/>
        </w:rPr>
        <w:t xml:space="preserve"> </w:t>
      </w:r>
      <w:r w:rsidRPr="00014552">
        <w:rPr>
          <w:rFonts w:ascii="Arial" w:hAnsi="Arial" w:cs="Arial"/>
        </w:rPr>
        <w:t xml:space="preserve">has shown </w:t>
      </w:r>
      <w:r w:rsidR="007339FD">
        <w:rPr>
          <w:rFonts w:ascii="Arial" w:hAnsi="Arial" w:cs="Arial"/>
        </w:rPr>
        <w:t>a decrease in some</w:t>
      </w:r>
      <w:r w:rsidRPr="00014552">
        <w:rPr>
          <w:rFonts w:ascii="Arial" w:hAnsi="Arial" w:cs="Arial"/>
        </w:rPr>
        <w:t xml:space="preserve"> attitudes that support violence against women since 2013</w:t>
      </w:r>
      <w:r w:rsidR="007D0947">
        <w:rPr>
          <w:rFonts w:ascii="Arial" w:hAnsi="Arial" w:cs="Arial"/>
        </w:rPr>
        <w:t>,</w:t>
      </w:r>
      <w:r w:rsidR="00C05EDF">
        <w:rPr>
          <w:rStyle w:val="FootnoteReference"/>
          <w:rFonts w:ascii="Arial" w:hAnsi="Arial" w:cs="Arial"/>
        </w:rPr>
        <w:footnoteReference w:id="179"/>
      </w:r>
      <w:r w:rsidR="00C05EDF">
        <w:rPr>
          <w:rFonts w:ascii="Arial" w:hAnsi="Arial" w:cs="Arial"/>
        </w:rPr>
        <w:t xml:space="preserve"> notably among young men</w:t>
      </w:r>
      <w:r w:rsidR="00240680">
        <w:rPr>
          <w:rFonts w:ascii="Arial" w:hAnsi="Arial" w:cs="Arial"/>
        </w:rPr>
        <w:t xml:space="preserve"> (</w:t>
      </w:r>
      <w:r w:rsidR="007D0947">
        <w:rPr>
          <w:rFonts w:ascii="Arial" w:hAnsi="Arial" w:cs="Arial"/>
        </w:rPr>
        <w:t xml:space="preserve">aged </w:t>
      </w:r>
      <w:r w:rsidR="00240680">
        <w:rPr>
          <w:rFonts w:ascii="Arial" w:hAnsi="Arial" w:cs="Arial"/>
        </w:rPr>
        <w:t>16-24</w:t>
      </w:r>
      <w:r w:rsidR="007D0947">
        <w:rPr>
          <w:rFonts w:ascii="Arial" w:hAnsi="Arial" w:cs="Arial"/>
        </w:rPr>
        <w:t xml:space="preserve"> </w:t>
      </w:r>
      <w:r w:rsidR="00240680">
        <w:rPr>
          <w:rFonts w:ascii="Arial" w:hAnsi="Arial" w:cs="Arial"/>
        </w:rPr>
        <w:t>y</w:t>
      </w:r>
      <w:r w:rsidR="007D0947">
        <w:rPr>
          <w:rFonts w:ascii="Arial" w:hAnsi="Arial" w:cs="Arial"/>
        </w:rPr>
        <w:t>ea</w:t>
      </w:r>
      <w:r w:rsidR="00240680">
        <w:rPr>
          <w:rFonts w:ascii="Arial" w:hAnsi="Arial" w:cs="Arial"/>
        </w:rPr>
        <w:t>rs)</w:t>
      </w:r>
      <w:r w:rsidRPr="00014552">
        <w:rPr>
          <w:rFonts w:ascii="Arial" w:hAnsi="Arial" w:cs="Arial"/>
        </w:rPr>
        <w:t>,</w:t>
      </w:r>
      <w:r w:rsidR="00860248">
        <w:rPr>
          <w:rFonts w:ascii="Arial" w:hAnsi="Arial" w:cs="Arial"/>
        </w:rPr>
        <w:t xml:space="preserve"> harmful attitudes </w:t>
      </w:r>
      <w:r w:rsidR="00C05EDF">
        <w:rPr>
          <w:rFonts w:ascii="Arial" w:hAnsi="Arial" w:cs="Arial"/>
        </w:rPr>
        <w:t>that support violence against women persist</w:t>
      </w:r>
      <w:r w:rsidR="00860248">
        <w:rPr>
          <w:rFonts w:ascii="Arial" w:hAnsi="Arial" w:cs="Arial"/>
        </w:rPr>
        <w:t>. For example</w:t>
      </w:r>
      <w:r w:rsidR="007D0947">
        <w:rPr>
          <w:rFonts w:ascii="Arial" w:hAnsi="Arial" w:cs="Arial"/>
        </w:rPr>
        <w:t>,</w:t>
      </w:r>
      <w:r w:rsidR="00860248">
        <w:rPr>
          <w:rFonts w:ascii="Arial" w:hAnsi="Arial" w:cs="Arial"/>
        </w:rPr>
        <w:t xml:space="preserve"> since 2013, there ha</w:t>
      </w:r>
      <w:r w:rsidR="007D0947">
        <w:rPr>
          <w:rFonts w:ascii="Arial" w:hAnsi="Arial" w:cs="Arial"/>
        </w:rPr>
        <w:t>s</w:t>
      </w:r>
      <w:r w:rsidR="00860248">
        <w:rPr>
          <w:rFonts w:ascii="Arial" w:hAnsi="Arial" w:cs="Arial"/>
        </w:rPr>
        <w:t xml:space="preserve"> been a decrease in the number of people </w:t>
      </w:r>
      <w:r w:rsidR="007D0947">
        <w:rPr>
          <w:rFonts w:ascii="Arial" w:hAnsi="Arial" w:cs="Arial"/>
        </w:rPr>
        <w:t xml:space="preserve">(particularly young people) </w:t>
      </w:r>
      <w:r w:rsidR="00860248">
        <w:rPr>
          <w:rFonts w:ascii="Arial" w:hAnsi="Arial" w:cs="Arial"/>
        </w:rPr>
        <w:t>who identified men as most likely to perpetrate domestic violence and</w:t>
      </w:r>
      <w:r w:rsidR="00240680">
        <w:rPr>
          <w:rFonts w:ascii="Arial" w:hAnsi="Arial" w:cs="Arial"/>
        </w:rPr>
        <w:t xml:space="preserve"> </w:t>
      </w:r>
      <w:r w:rsidR="00860248">
        <w:rPr>
          <w:rFonts w:ascii="Arial" w:hAnsi="Arial" w:cs="Arial"/>
        </w:rPr>
        <w:t>women a</w:t>
      </w:r>
      <w:r w:rsidR="007D0947">
        <w:rPr>
          <w:rFonts w:ascii="Arial" w:hAnsi="Arial" w:cs="Arial"/>
        </w:rPr>
        <w:t>s</w:t>
      </w:r>
      <w:r w:rsidR="00860248">
        <w:rPr>
          <w:rFonts w:ascii="Arial" w:hAnsi="Arial" w:cs="Arial"/>
        </w:rPr>
        <w:t xml:space="preserve"> more </w:t>
      </w:r>
      <w:r w:rsidR="00860248" w:rsidRPr="007D0947">
        <w:rPr>
          <w:rFonts w:ascii="Arial" w:hAnsi="Arial" w:cs="Arial"/>
        </w:rPr>
        <w:t>likely to experience physical harm and fear from this violence</w:t>
      </w:r>
      <w:r w:rsidR="00860248">
        <w:rPr>
          <w:rFonts w:ascii="Arial" w:hAnsi="Arial" w:cs="Arial"/>
        </w:rPr>
        <w:t>.</w:t>
      </w:r>
      <w:r w:rsidR="00860248">
        <w:rPr>
          <w:rStyle w:val="FootnoteReference"/>
          <w:rFonts w:ascii="Arial" w:hAnsi="Arial" w:cs="Arial"/>
        </w:rPr>
        <w:footnoteReference w:id="180"/>
      </w:r>
      <w:r w:rsidR="00860248">
        <w:rPr>
          <w:rFonts w:ascii="Arial" w:hAnsi="Arial" w:cs="Arial"/>
        </w:rPr>
        <w:t xml:space="preserve"> </w:t>
      </w:r>
    </w:p>
    <w:p w14:paraId="663C0C4E" w14:textId="33DD8749" w:rsidR="00E260F9" w:rsidRDefault="007D0947" w:rsidP="006457DA">
      <w:pPr>
        <w:autoSpaceDE w:val="0"/>
        <w:autoSpaceDN w:val="0"/>
        <w:adjustRightInd w:val="0"/>
        <w:spacing w:after="120" w:line="276" w:lineRule="auto"/>
        <w:rPr>
          <w:rFonts w:ascii="Arial" w:hAnsi="Arial" w:cs="Arial"/>
        </w:rPr>
      </w:pPr>
      <w:r>
        <w:rPr>
          <w:rFonts w:ascii="Arial" w:hAnsi="Arial" w:cs="Arial"/>
        </w:rPr>
        <w:t>T</w:t>
      </w:r>
      <w:r w:rsidR="000B2256" w:rsidRPr="000B2256">
        <w:rPr>
          <w:rFonts w:ascii="Arial" w:hAnsi="Arial" w:cs="Arial"/>
        </w:rPr>
        <w:t>he 2017 National Community Attitud</w:t>
      </w:r>
      <w:r w:rsidR="000B2256">
        <w:rPr>
          <w:rFonts w:ascii="Arial" w:hAnsi="Arial" w:cs="Arial"/>
        </w:rPr>
        <w:t xml:space="preserve">es </w:t>
      </w:r>
      <w:r w:rsidR="000B2256" w:rsidRPr="000B2256">
        <w:rPr>
          <w:rFonts w:ascii="Arial" w:hAnsi="Arial" w:cs="Arial"/>
        </w:rPr>
        <w:t xml:space="preserve">towards Violence against Women </w:t>
      </w:r>
      <w:r w:rsidR="00240680">
        <w:rPr>
          <w:rFonts w:ascii="Arial" w:hAnsi="Arial" w:cs="Arial"/>
        </w:rPr>
        <w:t xml:space="preserve">survey </w:t>
      </w:r>
      <w:r w:rsidR="000B2256">
        <w:rPr>
          <w:rFonts w:ascii="Arial" w:hAnsi="Arial" w:cs="Arial"/>
        </w:rPr>
        <w:t>found that</w:t>
      </w:r>
      <w:r>
        <w:rPr>
          <w:rFonts w:ascii="Arial" w:hAnsi="Arial" w:cs="Arial"/>
        </w:rPr>
        <w:t>,</w:t>
      </w:r>
      <w:r w:rsidR="000B2256">
        <w:rPr>
          <w:rFonts w:ascii="Arial" w:hAnsi="Arial" w:cs="Arial"/>
        </w:rPr>
        <w:t xml:space="preserve"> </w:t>
      </w:r>
      <w:r w:rsidR="00C05EDF">
        <w:rPr>
          <w:rFonts w:ascii="Arial" w:hAnsi="Arial" w:cs="Arial"/>
        </w:rPr>
        <w:t>c</w:t>
      </w:r>
      <w:r w:rsidR="00630B69">
        <w:rPr>
          <w:rFonts w:ascii="Arial" w:hAnsi="Arial" w:cs="Arial"/>
        </w:rPr>
        <w:t xml:space="preserve">ompared with young women, </w:t>
      </w:r>
      <w:r w:rsidR="00E260F9" w:rsidRPr="00014552">
        <w:rPr>
          <w:rFonts w:ascii="Arial" w:hAnsi="Arial" w:cs="Arial"/>
        </w:rPr>
        <w:t>young men</w:t>
      </w:r>
      <w:r w:rsidR="00801A4A">
        <w:rPr>
          <w:rFonts w:ascii="Arial" w:hAnsi="Arial" w:cs="Arial"/>
        </w:rPr>
        <w:t xml:space="preserve"> </w:t>
      </w:r>
      <w:r>
        <w:rPr>
          <w:rFonts w:ascii="Arial" w:hAnsi="Arial" w:cs="Arial"/>
        </w:rPr>
        <w:t>had</w:t>
      </w:r>
      <w:r w:rsidR="00C05EDF">
        <w:rPr>
          <w:rFonts w:ascii="Arial" w:hAnsi="Arial" w:cs="Arial"/>
        </w:rPr>
        <w:t xml:space="preserve"> </w:t>
      </w:r>
      <w:r w:rsidR="00E260F9" w:rsidRPr="00C05EDF">
        <w:rPr>
          <w:rFonts w:ascii="Arial" w:hAnsi="Arial" w:cs="Arial"/>
        </w:rPr>
        <w:t>a lower level of understanding of violence against wome</w:t>
      </w:r>
      <w:r w:rsidR="007C0962">
        <w:rPr>
          <w:rFonts w:ascii="Arial" w:hAnsi="Arial" w:cs="Arial"/>
        </w:rPr>
        <w:t xml:space="preserve">n, lower level </w:t>
      </w:r>
      <w:r>
        <w:rPr>
          <w:rFonts w:ascii="Arial" w:hAnsi="Arial" w:cs="Arial"/>
        </w:rPr>
        <w:t xml:space="preserve">of </w:t>
      </w:r>
      <w:r w:rsidR="00E260F9" w:rsidRPr="007C0962">
        <w:rPr>
          <w:rFonts w:ascii="Arial" w:hAnsi="Arial" w:cs="Arial"/>
        </w:rPr>
        <w:t>support for gender equality</w:t>
      </w:r>
      <w:r w:rsidR="00BF312B" w:rsidRPr="007C0962">
        <w:rPr>
          <w:rFonts w:ascii="Arial" w:hAnsi="Arial" w:cs="Arial"/>
        </w:rPr>
        <w:t>, and</w:t>
      </w:r>
      <w:r w:rsidR="007C0962">
        <w:rPr>
          <w:rFonts w:ascii="Arial" w:hAnsi="Arial" w:cs="Arial"/>
        </w:rPr>
        <w:t xml:space="preserve"> </w:t>
      </w:r>
      <w:r w:rsidR="00E260F9" w:rsidRPr="007C0962">
        <w:rPr>
          <w:rFonts w:ascii="Arial" w:hAnsi="Arial" w:cs="Arial"/>
        </w:rPr>
        <w:t>a higher level of attitudinal support for violence against women.</w:t>
      </w:r>
      <w:r w:rsidR="0016510C">
        <w:rPr>
          <w:rStyle w:val="FootnoteReference"/>
          <w:rFonts w:ascii="Arial" w:hAnsi="Arial" w:cs="Arial"/>
        </w:rPr>
        <w:footnoteReference w:id="181"/>
      </w:r>
      <w:r w:rsidR="00E260F9" w:rsidRPr="007C0962">
        <w:rPr>
          <w:rFonts w:ascii="Arial" w:hAnsi="Arial" w:cs="Arial"/>
        </w:rPr>
        <w:t xml:space="preserve"> </w:t>
      </w:r>
      <w:r w:rsidR="007C0962">
        <w:rPr>
          <w:rFonts w:ascii="Arial" w:hAnsi="Arial" w:cs="Arial"/>
        </w:rPr>
        <w:t>For example:</w:t>
      </w:r>
    </w:p>
    <w:p w14:paraId="2E1FC1B0" w14:textId="6EBAFFDA" w:rsidR="007C0962" w:rsidRDefault="007D0947" w:rsidP="006457DA">
      <w:pPr>
        <w:pStyle w:val="ListParagraph"/>
        <w:numPr>
          <w:ilvl w:val="0"/>
          <w:numId w:val="40"/>
        </w:numPr>
        <w:spacing w:after="120" w:line="276" w:lineRule="auto"/>
        <w:contextualSpacing w:val="0"/>
        <w:jc w:val="both"/>
        <w:rPr>
          <w:rFonts w:ascii="Arial" w:hAnsi="Arial" w:cs="Arial"/>
        </w:rPr>
      </w:pPr>
      <w:r>
        <w:rPr>
          <w:rFonts w:ascii="Arial" w:hAnsi="Arial" w:cs="Arial"/>
        </w:rPr>
        <w:t>o</w:t>
      </w:r>
      <w:r w:rsidR="007C0962">
        <w:rPr>
          <w:rFonts w:ascii="Arial" w:hAnsi="Arial" w:cs="Arial"/>
        </w:rPr>
        <w:t>nly 57% of young men agreed that violence against women is common (compared with 78% of young women)</w:t>
      </w:r>
      <w:r w:rsidR="00FC2563">
        <w:rPr>
          <w:rFonts w:ascii="Arial" w:hAnsi="Arial" w:cs="Arial"/>
        </w:rPr>
        <w:t>, and</w:t>
      </w:r>
    </w:p>
    <w:p w14:paraId="56F153B3" w14:textId="2723DF01" w:rsidR="007C0962" w:rsidRDefault="007C0962" w:rsidP="006457DA">
      <w:pPr>
        <w:pStyle w:val="ListParagraph"/>
        <w:numPr>
          <w:ilvl w:val="0"/>
          <w:numId w:val="40"/>
        </w:numPr>
        <w:spacing w:after="120" w:line="276" w:lineRule="auto"/>
        <w:contextualSpacing w:val="0"/>
        <w:jc w:val="both"/>
        <w:rPr>
          <w:rFonts w:ascii="Arial" w:hAnsi="Arial" w:cs="Arial"/>
        </w:rPr>
      </w:pPr>
      <w:r>
        <w:rPr>
          <w:rFonts w:ascii="Arial" w:hAnsi="Arial" w:cs="Arial"/>
        </w:rPr>
        <w:t>18% of young men agreed that</w:t>
      </w:r>
      <w:r w:rsidR="00FC2563">
        <w:rPr>
          <w:rFonts w:ascii="Arial" w:hAnsi="Arial" w:cs="Arial"/>
        </w:rPr>
        <w:t xml:space="preserve"> </w:t>
      </w:r>
      <w:r>
        <w:rPr>
          <w:rFonts w:ascii="Arial" w:hAnsi="Arial" w:cs="Arial"/>
        </w:rPr>
        <w:t xml:space="preserve">allegations made by women </w:t>
      </w:r>
      <w:r w:rsidR="00FC2563">
        <w:rPr>
          <w:rFonts w:ascii="Arial" w:hAnsi="Arial" w:cs="Arial"/>
        </w:rPr>
        <w:t>about</w:t>
      </w:r>
      <w:r>
        <w:rPr>
          <w:rFonts w:ascii="Arial" w:hAnsi="Arial" w:cs="Arial"/>
        </w:rPr>
        <w:t xml:space="preserve"> sexual assault are often false (compared with 10% of women) </w:t>
      </w:r>
    </w:p>
    <w:p w14:paraId="5B877FD5" w14:textId="1712DC71" w:rsidR="00BC196B" w:rsidRDefault="00AC4A1C" w:rsidP="006457DA">
      <w:pPr>
        <w:spacing w:after="120" w:line="276" w:lineRule="auto"/>
        <w:jc w:val="both"/>
        <w:rPr>
          <w:rFonts w:ascii="Arial" w:hAnsi="Arial" w:cs="Arial"/>
        </w:rPr>
      </w:pPr>
      <w:r>
        <w:rPr>
          <w:rFonts w:ascii="Arial" w:hAnsi="Arial" w:cs="Arial"/>
        </w:rPr>
        <w:t>Harmful attitudes are also reflected in and reinforced by harmful behaviours. For example, t</w:t>
      </w:r>
      <w:r w:rsidR="00BC196B">
        <w:rPr>
          <w:rFonts w:ascii="Arial" w:hAnsi="Arial" w:cs="Arial"/>
        </w:rPr>
        <w:t xml:space="preserve">he Australian Human Rights Commission also found </w:t>
      </w:r>
      <w:r w:rsidR="00215FED">
        <w:rPr>
          <w:rFonts w:ascii="Arial" w:hAnsi="Arial" w:cs="Arial"/>
        </w:rPr>
        <w:t xml:space="preserve">in its Respect@Work report that </w:t>
      </w:r>
      <w:r w:rsidR="00215FED" w:rsidRPr="00014552">
        <w:rPr>
          <w:rFonts w:ascii="Arial" w:hAnsi="Arial" w:cs="Arial"/>
        </w:rPr>
        <w:t xml:space="preserve">there is </w:t>
      </w:r>
      <w:r w:rsidR="005D1BE2">
        <w:rPr>
          <w:rFonts w:ascii="Arial" w:hAnsi="Arial" w:cs="Arial"/>
        </w:rPr>
        <w:t xml:space="preserve">a </w:t>
      </w:r>
      <w:r w:rsidR="00215FED" w:rsidRPr="00014552">
        <w:rPr>
          <w:rFonts w:ascii="Arial" w:hAnsi="Arial" w:cs="Arial"/>
        </w:rPr>
        <w:lastRenderedPageBreak/>
        <w:t>higher risk of sexual harassment occurring in male</w:t>
      </w:r>
      <w:r w:rsidR="00215FED">
        <w:rPr>
          <w:rFonts w:ascii="Arial" w:hAnsi="Arial" w:cs="Arial"/>
        </w:rPr>
        <w:t>-</w:t>
      </w:r>
      <w:r w:rsidR="00215FED" w:rsidRPr="00014552">
        <w:rPr>
          <w:rFonts w:ascii="Arial" w:hAnsi="Arial" w:cs="Arial"/>
        </w:rPr>
        <w:t>dominated industries (</w:t>
      </w:r>
      <w:r w:rsidR="00215FED">
        <w:rPr>
          <w:rFonts w:ascii="Arial" w:hAnsi="Arial" w:cs="Arial"/>
        </w:rPr>
        <w:t>e.g.</w:t>
      </w:r>
      <w:r w:rsidR="00215FED" w:rsidRPr="00014552">
        <w:rPr>
          <w:rFonts w:ascii="Arial" w:hAnsi="Arial" w:cs="Arial"/>
        </w:rPr>
        <w:t xml:space="preserve"> mining and construction)</w:t>
      </w:r>
      <w:r w:rsidR="00D92E93">
        <w:rPr>
          <w:rFonts w:ascii="Arial" w:hAnsi="Arial" w:cs="Arial"/>
        </w:rPr>
        <w:t>.</w:t>
      </w:r>
      <w:r w:rsidR="00215FED">
        <w:rPr>
          <w:rStyle w:val="FootnoteReference"/>
          <w:rFonts w:ascii="Arial" w:hAnsi="Arial" w:cs="Arial"/>
        </w:rPr>
        <w:footnoteReference w:id="182"/>
      </w:r>
    </w:p>
    <w:p w14:paraId="662CF742" w14:textId="6F6DC694" w:rsidR="00CF68D1" w:rsidRPr="00CF68D1" w:rsidRDefault="00CB6EFA" w:rsidP="006457DA">
      <w:pPr>
        <w:spacing w:after="120" w:line="276" w:lineRule="auto"/>
        <w:jc w:val="both"/>
        <w:rPr>
          <w:rFonts w:ascii="Arial" w:hAnsi="Arial" w:cs="Arial"/>
        </w:rPr>
      </w:pPr>
      <w:r>
        <w:rPr>
          <w:rFonts w:ascii="Arial" w:hAnsi="Arial" w:cs="Arial"/>
        </w:rPr>
        <w:t xml:space="preserve">In addition to </w:t>
      </w:r>
      <w:r w:rsidR="00721F35">
        <w:rPr>
          <w:rFonts w:ascii="Arial" w:hAnsi="Arial" w:cs="Arial"/>
        </w:rPr>
        <w:t>being harmful to women, t</w:t>
      </w:r>
      <w:r w:rsidR="00CF68D1" w:rsidRPr="00CF68D1">
        <w:rPr>
          <w:rFonts w:ascii="Arial" w:hAnsi="Arial" w:cs="Arial"/>
        </w:rPr>
        <w:t>here is a wealth of evidence that conformity to traditional masculine stereotypes is limiting for men and boys.</w:t>
      </w:r>
      <w:r w:rsidR="00F4188A">
        <w:rPr>
          <w:rStyle w:val="FootnoteReference"/>
          <w:rFonts w:ascii="Arial" w:hAnsi="Arial" w:cs="Arial"/>
        </w:rPr>
        <w:footnoteReference w:id="183"/>
      </w:r>
    </w:p>
    <w:p w14:paraId="4B5C302E" w14:textId="2DDF731A" w:rsidR="0081487E" w:rsidRPr="00014552" w:rsidRDefault="0081487E" w:rsidP="006457DA">
      <w:pPr>
        <w:tabs>
          <w:tab w:val="left" w:pos="357"/>
        </w:tabs>
        <w:spacing w:after="120" w:line="276" w:lineRule="auto"/>
        <w:jc w:val="both"/>
        <w:rPr>
          <w:rFonts w:ascii="Arial" w:hAnsi="Arial" w:cs="Arial"/>
        </w:rPr>
      </w:pPr>
      <w:r w:rsidRPr="00014552">
        <w:rPr>
          <w:rFonts w:ascii="Arial" w:hAnsi="Arial" w:cs="Arial"/>
        </w:rPr>
        <w:t>A recent re</w:t>
      </w:r>
      <w:r w:rsidR="00D4696F">
        <w:rPr>
          <w:rFonts w:ascii="Arial" w:hAnsi="Arial" w:cs="Arial"/>
        </w:rPr>
        <w:t>port</w:t>
      </w:r>
      <w:r w:rsidRPr="00014552">
        <w:rPr>
          <w:rFonts w:ascii="Arial" w:hAnsi="Arial" w:cs="Arial"/>
        </w:rPr>
        <w:t xml:space="preserve"> </w:t>
      </w:r>
      <w:r w:rsidR="00B83C70">
        <w:rPr>
          <w:rFonts w:ascii="Arial" w:hAnsi="Arial" w:cs="Arial"/>
        </w:rPr>
        <w:t xml:space="preserve">by Our Watch </w:t>
      </w:r>
      <w:r w:rsidRPr="00014552">
        <w:rPr>
          <w:rFonts w:ascii="Arial" w:hAnsi="Arial" w:cs="Arial"/>
        </w:rPr>
        <w:t xml:space="preserve">tracking </w:t>
      </w:r>
      <w:r>
        <w:rPr>
          <w:rFonts w:ascii="Arial" w:hAnsi="Arial" w:cs="Arial"/>
        </w:rPr>
        <w:t xml:space="preserve">the progress of </w:t>
      </w:r>
      <w:r w:rsidRPr="00014552">
        <w:rPr>
          <w:rFonts w:ascii="Arial" w:hAnsi="Arial" w:cs="Arial"/>
        </w:rPr>
        <w:t xml:space="preserve">prevention of violence efforts in Australia found that many men are still highly influenced by </w:t>
      </w:r>
      <w:r w:rsidRPr="717D599A">
        <w:rPr>
          <w:rFonts w:ascii="Arial" w:hAnsi="Arial" w:cs="Arial"/>
          <w:i/>
          <w:iCs/>
        </w:rPr>
        <w:t xml:space="preserve">‘expectations of their male peers’, </w:t>
      </w:r>
      <w:r w:rsidRPr="00014552">
        <w:rPr>
          <w:rFonts w:ascii="Arial" w:hAnsi="Arial" w:cs="Arial"/>
        </w:rPr>
        <w:t xml:space="preserve">which may influence </w:t>
      </w:r>
      <w:r w:rsidR="00D4696F">
        <w:rPr>
          <w:rFonts w:ascii="Arial" w:hAnsi="Arial" w:cs="Arial"/>
        </w:rPr>
        <w:t xml:space="preserve">or reinforce </w:t>
      </w:r>
      <w:r w:rsidRPr="00014552">
        <w:rPr>
          <w:rFonts w:ascii="Arial" w:hAnsi="Arial" w:cs="Arial"/>
        </w:rPr>
        <w:t xml:space="preserve">sexist behaviour </w:t>
      </w:r>
      <w:r w:rsidR="007C6FA6">
        <w:rPr>
          <w:rFonts w:ascii="Arial" w:hAnsi="Arial" w:cs="Arial"/>
        </w:rPr>
        <w:t>and/</w:t>
      </w:r>
      <w:r w:rsidRPr="00014552">
        <w:rPr>
          <w:rFonts w:ascii="Arial" w:hAnsi="Arial" w:cs="Arial"/>
        </w:rPr>
        <w:t xml:space="preserve">or stop men from taking bystander action. The report </w:t>
      </w:r>
      <w:r w:rsidR="00A63C79">
        <w:rPr>
          <w:rFonts w:ascii="Arial" w:hAnsi="Arial" w:cs="Arial"/>
        </w:rPr>
        <w:t xml:space="preserve">called for </w:t>
      </w:r>
      <w:r w:rsidRPr="00014552">
        <w:rPr>
          <w:rFonts w:ascii="Arial" w:hAnsi="Arial" w:cs="Arial"/>
        </w:rPr>
        <w:t xml:space="preserve">increased investment </w:t>
      </w:r>
      <w:r w:rsidR="00F4188A">
        <w:rPr>
          <w:rFonts w:ascii="Arial" w:hAnsi="Arial" w:cs="Arial"/>
        </w:rPr>
        <w:t>i</w:t>
      </w:r>
      <w:r w:rsidRPr="00014552">
        <w:rPr>
          <w:rFonts w:ascii="Arial" w:hAnsi="Arial" w:cs="Arial"/>
        </w:rPr>
        <w:t xml:space="preserve">n initiatives that </w:t>
      </w:r>
      <w:r w:rsidR="00A63C79">
        <w:rPr>
          <w:rFonts w:ascii="Arial" w:hAnsi="Arial" w:cs="Arial"/>
        </w:rPr>
        <w:t>‘</w:t>
      </w:r>
      <w:r w:rsidRPr="717D599A">
        <w:rPr>
          <w:rFonts w:ascii="Arial" w:hAnsi="Arial" w:cs="Arial"/>
          <w:i/>
          <w:iCs/>
        </w:rPr>
        <w:t>challenge rigid attachment to dominant norms of masculinity and disrupt male peer relations and expressions of masculinity that normalise aggression, disrespect and hostility towards women, and power and control over women</w:t>
      </w:r>
      <w:r w:rsidR="00A63C79" w:rsidRPr="717D599A">
        <w:rPr>
          <w:rFonts w:ascii="Arial" w:hAnsi="Arial" w:cs="Arial"/>
          <w:i/>
          <w:iCs/>
        </w:rPr>
        <w:t>’</w:t>
      </w:r>
      <w:r w:rsidRPr="717D599A">
        <w:rPr>
          <w:rFonts w:ascii="Arial" w:hAnsi="Arial" w:cs="Arial"/>
          <w:i/>
          <w:iCs/>
        </w:rPr>
        <w:t>.</w:t>
      </w:r>
      <w:r w:rsidRPr="007C6FA6">
        <w:rPr>
          <w:rStyle w:val="FootnoteReference"/>
          <w:rFonts w:ascii="Arial" w:hAnsi="Arial" w:cs="Arial"/>
        </w:rPr>
        <w:footnoteReference w:id="184"/>
      </w:r>
    </w:p>
    <w:p w14:paraId="7655F55A" w14:textId="319D2672" w:rsidR="002679A3" w:rsidRPr="002679A3" w:rsidRDefault="002679A3" w:rsidP="006457DA">
      <w:pPr>
        <w:spacing w:after="120" w:line="276" w:lineRule="auto"/>
        <w:jc w:val="both"/>
        <w:rPr>
          <w:rFonts w:ascii="Arial" w:hAnsi="Arial" w:cs="Arial"/>
        </w:rPr>
      </w:pPr>
      <w:r w:rsidRPr="002679A3">
        <w:rPr>
          <w:rFonts w:ascii="Arial" w:hAnsi="Arial" w:cs="Arial"/>
        </w:rPr>
        <w:t>VicHealth</w:t>
      </w:r>
      <w:r w:rsidR="000F2919">
        <w:rPr>
          <w:rFonts w:ascii="Arial" w:hAnsi="Arial" w:cs="Arial"/>
        </w:rPr>
        <w:t xml:space="preserve"> has</w:t>
      </w:r>
      <w:r w:rsidR="00B17C23">
        <w:rPr>
          <w:rFonts w:ascii="Arial" w:hAnsi="Arial" w:cs="Arial"/>
        </w:rPr>
        <w:t xml:space="preserve"> also</w:t>
      </w:r>
      <w:r w:rsidR="000F2919">
        <w:rPr>
          <w:rFonts w:ascii="Arial" w:hAnsi="Arial" w:cs="Arial"/>
        </w:rPr>
        <w:t xml:space="preserve"> recently published</w:t>
      </w:r>
      <w:r w:rsidRPr="002679A3">
        <w:rPr>
          <w:rFonts w:ascii="Arial" w:hAnsi="Arial" w:cs="Arial"/>
        </w:rPr>
        <w:t xml:space="preserve"> research </w:t>
      </w:r>
      <w:r w:rsidR="000F2919">
        <w:rPr>
          <w:rFonts w:ascii="Arial" w:hAnsi="Arial" w:cs="Arial"/>
        </w:rPr>
        <w:t xml:space="preserve">which </w:t>
      </w:r>
      <w:r w:rsidRPr="002679A3">
        <w:rPr>
          <w:rFonts w:ascii="Arial" w:hAnsi="Arial" w:cs="Arial"/>
        </w:rPr>
        <w:t>tested various messages for promoting health</w:t>
      </w:r>
      <w:r w:rsidR="00FC2563">
        <w:rPr>
          <w:rFonts w:ascii="Arial" w:hAnsi="Arial" w:cs="Arial"/>
        </w:rPr>
        <w:t>ier</w:t>
      </w:r>
      <w:r w:rsidRPr="002679A3">
        <w:rPr>
          <w:rFonts w:ascii="Arial" w:hAnsi="Arial" w:cs="Arial"/>
        </w:rPr>
        <w:t xml:space="preserve"> masculinit</w:t>
      </w:r>
      <w:r w:rsidR="00FC2563">
        <w:rPr>
          <w:rFonts w:ascii="Arial" w:hAnsi="Arial" w:cs="Arial"/>
        </w:rPr>
        <w:t>ies</w:t>
      </w:r>
      <w:r w:rsidRPr="002679A3">
        <w:rPr>
          <w:rFonts w:ascii="Arial" w:hAnsi="Arial" w:cs="Arial"/>
        </w:rPr>
        <w:t xml:space="preserve"> to identify those most likely to inspire positive change.</w:t>
      </w:r>
      <w:r w:rsidR="00317416">
        <w:rPr>
          <w:rFonts w:ascii="Arial" w:hAnsi="Arial" w:cs="Arial"/>
        </w:rPr>
        <w:t xml:space="preserve"> </w:t>
      </w:r>
      <w:r w:rsidRPr="002679A3">
        <w:rPr>
          <w:rFonts w:ascii="Arial" w:hAnsi="Arial" w:cs="Arial"/>
        </w:rPr>
        <w:t>Among the key recommendations for community a</w:t>
      </w:r>
      <w:r w:rsidR="00317416">
        <w:rPr>
          <w:rFonts w:ascii="Arial" w:hAnsi="Arial" w:cs="Arial"/>
        </w:rPr>
        <w:t>n</w:t>
      </w:r>
      <w:r w:rsidRPr="002679A3">
        <w:rPr>
          <w:rFonts w:ascii="Arial" w:hAnsi="Arial" w:cs="Arial"/>
        </w:rPr>
        <w:t>d health providers to better engage with men</w:t>
      </w:r>
      <w:r w:rsidR="00FC2563">
        <w:rPr>
          <w:rFonts w:ascii="Arial" w:hAnsi="Arial" w:cs="Arial"/>
        </w:rPr>
        <w:t xml:space="preserve"> were to</w:t>
      </w:r>
      <w:r w:rsidRPr="002679A3">
        <w:rPr>
          <w:rFonts w:ascii="Arial" w:hAnsi="Arial" w:cs="Arial"/>
        </w:rPr>
        <w:t>:</w:t>
      </w:r>
    </w:p>
    <w:p w14:paraId="08EB9C77" w14:textId="77777777" w:rsidR="002679A3" w:rsidRPr="00317416" w:rsidRDefault="002679A3" w:rsidP="006457DA">
      <w:pPr>
        <w:pStyle w:val="ListParagraph"/>
        <w:numPr>
          <w:ilvl w:val="0"/>
          <w:numId w:val="21"/>
        </w:numPr>
        <w:spacing w:after="120" w:line="276" w:lineRule="auto"/>
        <w:contextualSpacing w:val="0"/>
        <w:jc w:val="both"/>
        <w:rPr>
          <w:rFonts w:ascii="Arial" w:hAnsi="Arial" w:cs="Arial"/>
        </w:rPr>
      </w:pPr>
      <w:r w:rsidRPr="00317416">
        <w:rPr>
          <w:rFonts w:ascii="Arial" w:hAnsi="Arial" w:cs="Arial"/>
        </w:rPr>
        <w:t>focus on progressive ideas that will appeal to the vast majority of people, rather than pandering to men with traditionally masculine language or focusing on myth-busting</w:t>
      </w:r>
    </w:p>
    <w:p w14:paraId="55AFA8E1" w14:textId="77777777" w:rsidR="002679A3" w:rsidRPr="00317416" w:rsidRDefault="002679A3" w:rsidP="006457DA">
      <w:pPr>
        <w:pStyle w:val="ListParagraph"/>
        <w:numPr>
          <w:ilvl w:val="0"/>
          <w:numId w:val="21"/>
        </w:numPr>
        <w:spacing w:after="120" w:line="276" w:lineRule="auto"/>
        <w:contextualSpacing w:val="0"/>
        <w:jc w:val="both"/>
        <w:rPr>
          <w:rFonts w:ascii="Arial" w:hAnsi="Arial" w:cs="Arial"/>
        </w:rPr>
      </w:pPr>
      <w:r w:rsidRPr="00317416">
        <w:rPr>
          <w:rFonts w:ascii="Arial" w:hAnsi="Arial" w:cs="Arial"/>
        </w:rPr>
        <w:t>emphasise the need to free men from outdated masculine stereotypes</w:t>
      </w:r>
    </w:p>
    <w:p w14:paraId="35CB0ECE" w14:textId="3DFBD78A" w:rsidR="002679A3" w:rsidRPr="00317416" w:rsidRDefault="002679A3" w:rsidP="006457DA">
      <w:pPr>
        <w:pStyle w:val="ListParagraph"/>
        <w:numPr>
          <w:ilvl w:val="0"/>
          <w:numId w:val="21"/>
        </w:numPr>
        <w:spacing w:after="120" w:line="276" w:lineRule="auto"/>
        <w:contextualSpacing w:val="0"/>
        <w:jc w:val="both"/>
        <w:rPr>
          <w:rFonts w:ascii="Arial" w:hAnsi="Arial" w:cs="Arial"/>
        </w:rPr>
      </w:pPr>
      <w:r w:rsidRPr="00317416">
        <w:rPr>
          <w:rFonts w:ascii="Arial" w:hAnsi="Arial" w:cs="Arial"/>
        </w:rPr>
        <w:t>focus less on the problem, and more on the solution.</w:t>
      </w:r>
      <w:r w:rsidR="00FE4CA3">
        <w:rPr>
          <w:rStyle w:val="FootnoteReference"/>
          <w:rFonts w:ascii="Arial" w:hAnsi="Arial" w:cs="Arial"/>
        </w:rPr>
        <w:footnoteReference w:id="185"/>
      </w:r>
    </w:p>
    <w:p w14:paraId="45B113D9" w14:textId="59803D6F" w:rsidR="00176845" w:rsidRDefault="00B17C23" w:rsidP="006457DA">
      <w:pPr>
        <w:spacing w:after="120" w:line="276" w:lineRule="auto"/>
        <w:jc w:val="both"/>
        <w:rPr>
          <w:rFonts w:ascii="Arial" w:hAnsi="Arial" w:cs="Arial"/>
        </w:rPr>
      </w:pPr>
      <w:r>
        <w:rPr>
          <w:rFonts w:ascii="Arial" w:hAnsi="Arial" w:cs="Arial"/>
        </w:rPr>
        <w:t>The evidence is cl</w:t>
      </w:r>
      <w:r w:rsidR="00DB02D5">
        <w:rPr>
          <w:rFonts w:ascii="Arial" w:hAnsi="Arial" w:cs="Arial"/>
        </w:rPr>
        <w:t>ear that there is a need</w:t>
      </w:r>
      <w:r w:rsidR="002C6F06">
        <w:rPr>
          <w:rFonts w:ascii="Arial" w:hAnsi="Arial" w:cs="Arial"/>
        </w:rPr>
        <w:t xml:space="preserve"> for a stronger focus on </w:t>
      </w:r>
      <w:r w:rsidR="00CA2139">
        <w:rPr>
          <w:rFonts w:ascii="Arial" w:hAnsi="Arial" w:cs="Arial"/>
        </w:rPr>
        <w:t xml:space="preserve">challenging rigid </w:t>
      </w:r>
      <w:r w:rsidR="0067276B">
        <w:rPr>
          <w:rFonts w:ascii="Arial" w:hAnsi="Arial" w:cs="Arial"/>
        </w:rPr>
        <w:t>masculine gender norms</w:t>
      </w:r>
      <w:r w:rsidR="00DE764B">
        <w:rPr>
          <w:rFonts w:ascii="Arial" w:hAnsi="Arial" w:cs="Arial"/>
        </w:rPr>
        <w:t xml:space="preserve"> </w:t>
      </w:r>
      <w:r w:rsidR="0067276B">
        <w:rPr>
          <w:rFonts w:ascii="Arial" w:hAnsi="Arial" w:cs="Arial"/>
        </w:rPr>
        <w:t xml:space="preserve">and </w:t>
      </w:r>
      <w:r w:rsidR="00533C16">
        <w:rPr>
          <w:rFonts w:ascii="Arial" w:hAnsi="Arial" w:cs="Arial"/>
        </w:rPr>
        <w:t>there is emerging evidence about what works</w:t>
      </w:r>
      <w:r w:rsidR="00624874">
        <w:rPr>
          <w:rFonts w:ascii="Arial" w:hAnsi="Arial" w:cs="Arial"/>
        </w:rPr>
        <w:t xml:space="preserve">. </w:t>
      </w:r>
      <w:r w:rsidR="00FF489B">
        <w:rPr>
          <w:rFonts w:ascii="Arial" w:hAnsi="Arial" w:cs="Arial"/>
        </w:rPr>
        <w:t>There is an opportunity to pilot and scale up initiatives targeting young men and harmful gender norms</w:t>
      </w:r>
      <w:r w:rsidR="00176845">
        <w:rPr>
          <w:rFonts w:ascii="Arial" w:hAnsi="Arial" w:cs="Arial"/>
        </w:rPr>
        <w:t xml:space="preserve"> </w:t>
      </w:r>
      <w:r w:rsidR="004A4CA1">
        <w:rPr>
          <w:rFonts w:ascii="Arial" w:hAnsi="Arial" w:cs="Arial"/>
        </w:rPr>
        <w:t>which</w:t>
      </w:r>
      <w:r w:rsidR="00176845">
        <w:rPr>
          <w:rFonts w:ascii="Arial" w:hAnsi="Arial" w:cs="Arial"/>
        </w:rPr>
        <w:t>:</w:t>
      </w:r>
    </w:p>
    <w:p w14:paraId="0069E66A" w14:textId="08158D8E" w:rsidR="00176845" w:rsidRPr="00014552" w:rsidRDefault="00176845" w:rsidP="006457DA">
      <w:pPr>
        <w:pStyle w:val="ListParagraph"/>
        <w:numPr>
          <w:ilvl w:val="0"/>
          <w:numId w:val="4"/>
        </w:numPr>
        <w:spacing w:after="120" w:line="276" w:lineRule="auto"/>
        <w:ind w:left="714" w:hanging="357"/>
        <w:contextualSpacing w:val="0"/>
        <w:jc w:val="both"/>
        <w:rPr>
          <w:rFonts w:ascii="Arial" w:hAnsi="Arial" w:cs="Arial"/>
        </w:rPr>
      </w:pPr>
      <w:r w:rsidRPr="00014552">
        <w:rPr>
          <w:rFonts w:ascii="Arial" w:hAnsi="Arial" w:cs="Arial"/>
        </w:rPr>
        <w:t>increas</w:t>
      </w:r>
      <w:r w:rsidR="004A4CA1">
        <w:rPr>
          <w:rFonts w:ascii="Arial" w:hAnsi="Arial" w:cs="Arial"/>
        </w:rPr>
        <w:t>e</w:t>
      </w:r>
      <w:r w:rsidRPr="00014552">
        <w:rPr>
          <w:rFonts w:ascii="Arial" w:hAnsi="Arial" w:cs="Arial"/>
        </w:rPr>
        <w:t xml:space="preserve"> the skills of family and peers to support young men to critique negative masculine norms</w:t>
      </w:r>
      <w:r>
        <w:rPr>
          <w:rFonts w:ascii="Arial" w:hAnsi="Arial" w:cs="Arial"/>
        </w:rPr>
        <w:t>.</w:t>
      </w:r>
    </w:p>
    <w:p w14:paraId="79B921BC" w14:textId="7F703795" w:rsidR="00176845" w:rsidRPr="00014552" w:rsidRDefault="0019708D" w:rsidP="006457DA">
      <w:pPr>
        <w:pStyle w:val="ListParagraph"/>
        <w:numPr>
          <w:ilvl w:val="0"/>
          <w:numId w:val="4"/>
        </w:numPr>
        <w:spacing w:after="120" w:line="276" w:lineRule="auto"/>
        <w:ind w:left="714" w:hanging="357"/>
        <w:contextualSpacing w:val="0"/>
        <w:jc w:val="both"/>
        <w:rPr>
          <w:rFonts w:ascii="Arial" w:hAnsi="Arial" w:cs="Arial"/>
        </w:rPr>
      </w:pPr>
      <w:r>
        <w:rPr>
          <w:rFonts w:ascii="Arial" w:hAnsi="Arial" w:cs="Arial"/>
        </w:rPr>
        <w:t>w</w:t>
      </w:r>
      <w:r w:rsidR="00176845" w:rsidRPr="00014552">
        <w:rPr>
          <w:rFonts w:ascii="Arial" w:hAnsi="Arial" w:cs="Arial"/>
        </w:rPr>
        <w:t xml:space="preserve">ork with </w:t>
      </w:r>
      <w:r w:rsidR="009E3D53">
        <w:rPr>
          <w:rFonts w:ascii="Arial" w:hAnsi="Arial" w:cs="Arial"/>
        </w:rPr>
        <w:t xml:space="preserve">boys and </w:t>
      </w:r>
      <w:r w:rsidR="00176845" w:rsidRPr="00014552">
        <w:rPr>
          <w:rFonts w:ascii="Arial" w:hAnsi="Arial" w:cs="Arial"/>
        </w:rPr>
        <w:t>men in their communities (education, sport</w:t>
      </w:r>
      <w:r>
        <w:rPr>
          <w:rFonts w:ascii="Arial" w:hAnsi="Arial" w:cs="Arial"/>
        </w:rPr>
        <w:t>, workplaces, media and advertising</w:t>
      </w:r>
      <w:r w:rsidR="00176845" w:rsidRPr="00014552">
        <w:rPr>
          <w:rFonts w:ascii="Arial" w:hAnsi="Arial" w:cs="Arial"/>
        </w:rPr>
        <w:t xml:space="preserve">) </w:t>
      </w:r>
      <w:r>
        <w:rPr>
          <w:rFonts w:ascii="Arial" w:hAnsi="Arial" w:cs="Arial"/>
        </w:rPr>
        <w:t>to</w:t>
      </w:r>
      <w:r w:rsidR="00176845" w:rsidRPr="00014552">
        <w:rPr>
          <w:rFonts w:ascii="Arial" w:hAnsi="Arial" w:cs="Arial"/>
        </w:rPr>
        <w:t xml:space="preserve"> provide alternate ways of being that challenge negative masculine norms</w:t>
      </w:r>
      <w:r>
        <w:rPr>
          <w:rFonts w:ascii="Arial" w:hAnsi="Arial" w:cs="Arial"/>
        </w:rPr>
        <w:t>.</w:t>
      </w:r>
      <w:r w:rsidR="00176845" w:rsidRPr="00014552">
        <w:rPr>
          <w:rStyle w:val="FootnoteReference"/>
          <w:rFonts w:ascii="Arial" w:hAnsi="Arial" w:cs="Arial"/>
        </w:rPr>
        <w:footnoteReference w:id="186"/>
      </w:r>
      <w:r w:rsidR="00176845" w:rsidRPr="00014552">
        <w:rPr>
          <w:rFonts w:ascii="Arial" w:hAnsi="Arial" w:cs="Arial"/>
        </w:rPr>
        <w:t xml:space="preserve"> </w:t>
      </w:r>
    </w:p>
    <w:p w14:paraId="109D8F7A" w14:textId="3A80E1BD" w:rsidR="00596E3C" w:rsidRDefault="004A4CA1" w:rsidP="006457DA">
      <w:pPr>
        <w:spacing w:after="120" w:line="276" w:lineRule="auto"/>
        <w:jc w:val="both"/>
        <w:rPr>
          <w:rFonts w:ascii="Arial" w:hAnsi="Arial" w:cs="Arial"/>
        </w:rPr>
      </w:pPr>
      <w:r>
        <w:rPr>
          <w:rFonts w:ascii="Arial" w:hAnsi="Arial" w:cs="Arial"/>
        </w:rPr>
        <w:t xml:space="preserve">These initiatives should </w:t>
      </w:r>
      <w:r w:rsidR="00C21E45">
        <w:rPr>
          <w:rFonts w:ascii="Arial" w:hAnsi="Arial" w:cs="Arial"/>
        </w:rPr>
        <w:t xml:space="preserve">complement </w:t>
      </w:r>
      <w:r w:rsidR="00812BA8">
        <w:rPr>
          <w:rFonts w:ascii="Arial" w:hAnsi="Arial" w:cs="Arial"/>
        </w:rPr>
        <w:t xml:space="preserve">prevention </w:t>
      </w:r>
      <w:r w:rsidR="00727CEC">
        <w:rPr>
          <w:rFonts w:ascii="Arial" w:hAnsi="Arial" w:cs="Arial"/>
        </w:rPr>
        <w:t>initiatives led by women</w:t>
      </w:r>
      <w:r w:rsidR="00FC2563">
        <w:rPr>
          <w:rFonts w:ascii="Arial" w:hAnsi="Arial" w:cs="Arial"/>
        </w:rPr>
        <w:t>,</w:t>
      </w:r>
      <w:r w:rsidR="00C21E45">
        <w:rPr>
          <w:rFonts w:ascii="Arial" w:hAnsi="Arial" w:cs="Arial"/>
        </w:rPr>
        <w:t xml:space="preserve"> be accountable to</w:t>
      </w:r>
      <w:r w:rsidR="00727CEC">
        <w:rPr>
          <w:rFonts w:ascii="Arial" w:hAnsi="Arial" w:cs="Arial"/>
        </w:rPr>
        <w:t xml:space="preserve"> women</w:t>
      </w:r>
      <w:r w:rsidR="00FC2563">
        <w:rPr>
          <w:rFonts w:ascii="Arial" w:hAnsi="Arial" w:cs="Arial"/>
        </w:rPr>
        <w:t xml:space="preserve"> and women’s organisations</w:t>
      </w:r>
      <w:r w:rsidR="00043AC7">
        <w:rPr>
          <w:rFonts w:ascii="Arial" w:hAnsi="Arial" w:cs="Arial"/>
        </w:rPr>
        <w:t>,</w:t>
      </w:r>
      <w:r w:rsidR="00F20201">
        <w:rPr>
          <w:rFonts w:ascii="Arial" w:hAnsi="Arial" w:cs="Arial"/>
        </w:rPr>
        <w:t xml:space="preserve"> </w:t>
      </w:r>
      <w:r w:rsidR="00043AC7">
        <w:rPr>
          <w:rFonts w:ascii="Arial" w:hAnsi="Arial" w:cs="Arial"/>
        </w:rPr>
        <w:t xml:space="preserve">and </w:t>
      </w:r>
      <w:r w:rsidR="00657BFB">
        <w:rPr>
          <w:rFonts w:ascii="Arial" w:hAnsi="Arial" w:cs="Arial"/>
        </w:rPr>
        <w:t xml:space="preserve">be delivered as part of a </w:t>
      </w:r>
      <w:r w:rsidR="003E32DB">
        <w:rPr>
          <w:rFonts w:ascii="Arial" w:hAnsi="Arial" w:cs="Arial"/>
        </w:rPr>
        <w:t>comprehensive</w:t>
      </w:r>
      <w:r w:rsidR="00F16D03">
        <w:rPr>
          <w:rFonts w:ascii="Arial" w:hAnsi="Arial" w:cs="Arial"/>
        </w:rPr>
        <w:t xml:space="preserve"> approach to promoting gender equality and preventing violence against wome</w:t>
      </w:r>
      <w:r w:rsidR="00C21E45">
        <w:rPr>
          <w:rFonts w:ascii="Arial" w:hAnsi="Arial" w:cs="Arial"/>
        </w:rPr>
        <w:t>n.</w:t>
      </w:r>
    </w:p>
    <w:p w14:paraId="0F480781" w14:textId="29BF8A58" w:rsidR="007F1F94" w:rsidRPr="007F1F94" w:rsidRDefault="00CF2DD7" w:rsidP="006457DA">
      <w:pPr>
        <w:spacing w:after="120" w:line="276" w:lineRule="auto"/>
        <w:jc w:val="both"/>
        <w:rPr>
          <w:rFonts w:ascii="Arial" w:hAnsi="Arial" w:cs="Arial"/>
        </w:rPr>
      </w:pPr>
      <w:r>
        <w:rPr>
          <w:rFonts w:ascii="Arial" w:hAnsi="Arial" w:cs="Arial"/>
        </w:rPr>
        <w:lastRenderedPageBreak/>
        <w:t>T</w:t>
      </w:r>
      <w:r w:rsidRPr="00014552">
        <w:rPr>
          <w:rFonts w:ascii="Arial" w:hAnsi="Arial" w:cs="Arial"/>
        </w:rPr>
        <w:t xml:space="preserve">here is </w:t>
      </w:r>
      <w:r>
        <w:rPr>
          <w:rFonts w:ascii="Arial" w:hAnsi="Arial" w:cs="Arial"/>
        </w:rPr>
        <w:t xml:space="preserve">also a </w:t>
      </w:r>
      <w:r w:rsidRPr="00014552">
        <w:rPr>
          <w:rFonts w:ascii="Arial" w:hAnsi="Arial" w:cs="Arial"/>
        </w:rPr>
        <w:t xml:space="preserve">need for further research on masculinities that includes intersectional experiences </w:t>
      </w:r>
      <w:r>
        <w:rPr>
          <w:rFonts w:ascii="Arial" w:hAnsi="Arial" w:cs="Arial"/>
        </w:rPr>
        <w:t>and</w:t>
      </w:r>
      <w:r w:rsidRPr="00014552">
        <w:rPr>
          <w:rFonts w:ascii="Arial" w:hAnsi="Arial" w:cs="Arial"/>
        </w:rPr>
        <w:t xml:space="preserve"> impacts in diverse communities.</w:t>
      </w:r>
      <w:r>
        <w:rPr>
          <w:rStyle w:val="FootnoteReference"/>
          <w:rFonts w:ascii="Arial" w:hAnsi="Arial" w:cs="Arial"/>
        </w:rPr>
        <w:footnoteReference w:id="187"/>
      </w:r>
      <w:r w:rsidR="007F1F94" w:rsidRPr="007F1F94">
        <w:rPr>
          <w:rFonts w:ascii="Arial" w:hAnsi="Arial" w:cs="Arial"/>
        </w:rPr>
        <w:t xml:space="preserve"> Our Watch</w:t>
      </w:r>
      <w:r w:rsidR="007F1F94">
        <w:rPr>
          <w:rFonts w:ascii="Arial" w:hAnsi="Arial" w:cs="Arial"/>
        </w:rPr>
        <w:t>’s progress report</w:t>
      </w:r>
      <w:r w:rsidR="007F1F94" w:rsidRPr="007F1F94">
        <w:rPr>
          <w:rFonts w:ascii="Arial" w:hAnsi="Arial" w:cs="Arial"/>
        </w:rPr>
        <w:t xml:space="preserve"> found </w:t>
      </w:r>
      <w:r w:rsidR="007F1F94">
        <w:rPr>
          <w:rFonts w:ascii="Arial" w:hAnsi="Arial" w:cs="Arial"/>
        </w:rPr>
        <w:t>‘</w:t>
      </w:r>
      <w:r w:rsidR="007F1F94" w:rsidRPr="717D599A">
        <w:rPr>
          <w:rFonts w:ascii="Arial" w:hAnsi="Arial" w:cs="Arial"/>
          <w:i/>
          <w:iCs/>
        </w:rPr>
        <w:t>a correlation between attitudes supportive of violence against women and other types of discriminatory attitudes, such as racism’,</w:t>
      </w:r>
      <w:r w:rsidR="007F1F94" w:rsidRPr="717D599A">
        <w:rPr>
          <w:rFonts w:ascii="Arial" w:hAnsi="Arial" w:cs="Arial"/>
          <w:i/>
          <w:iCs/>
          <w:vertAlign w:val="superscript"/>
        </w:rPr>
        <w:footnoteReference w:id="188"/>
      </w:r>
      <w:r w:rsidR="00DA5C37" w:rsidRPr="717D599A">
        <w:rPr>
          <w:rFonts w:ascii="Arial" w:hAnsi="Arial" w:cs="Arial"/>
          <w:i/>
          <w:iCs/>
        </w:rPr>
        <w:t xml:space="preserve"> </w:t>
      </w:r>
      <w:r w:rsidR="007F1F94">
        <w:rPr>
          <w:rFonts w:ascii="Arial" w:hAnsi="Arial" w:cs="Arial"/>
        </w:rPr>
        <w:t>h</w:t>
      </w:r>
      <w:r w:rsidR="007F1F94" w:rsidRPr="007F1F94">
        <w:rPr>
          <w:rFonts w:ascii="Arial" w:hAnsi="Arial" w:cs="Arial"/>
        </w:rPr>
        <w:t xml:space="preserve">ighlighting the need </w:t>
      </w:r>
      <w:r w:rsidR="00DA5C37">
        <w:rPr>
          <w:rFonts w:ascii="Arial" w:hAnsi="Arial" w:cs="Arial"/>
        </w:rPr>
        <w:t xml:space="preserve">for a strong intersectional focus </w:t>
      </w:r>
      <w:r w:rsidR="000D2DF8">
        <w:rPr>
          <w:rFonts w:ascii="Arial" w:hAnsi="Arial" w:cs="Arial"/>
        </w:rPr>
        <w:t>across all primary prevention initiatives.</w:t>
      </w:r>
      <w:r w:rsidR="007F1F94" w:rsidRPr="007F1F94">
        <w:rPr>
          <w:rFonts w:ascii="Arial" w:hAnsi="Arial" w:cs="Arial"/>
        </w:rPr>
        <w:t xml:space="preserve"> </w:t>
      </w:r>
    </w:p>
    <w:p w14:paraId="53BD3614" w14:textId="6180C7E7" w:rsidR="00CC05DE" w:rsidRPr="00AE237D" w:rsidRDefault="00104510" w:rsidP="006457DA">
      <w:pPr>
        <w:pStyle w:val="Heading2"/>
        <w:spacing w:before="0" w:after="120" w:line="276" w:lineRule="auto"/>
        <w:jc w:val="both"/>
        <w:rPr>
          <w:b/>
          <w:bCs/>
        </w:rPr>
      </w:pPr>
      <w:bookmarkStart w:id="57" w:name="_Toc59045896"/>
      <w:r w:rsidRPr="00AE237D">
        <w:rPr>
          <w:b/>
          <w:bCs/>
        </w:rPr>
        <w:t>Recommendations</w:t>
      </w:r>
      <w:r w:rsidR="00107496" w:rsidRPr="00AE237D">
        <w:rPr>
          <w:b/>
          <w:bCs/>
        </w:rPr>
        <w:t xml:space="preserve"> for the prevention of violence against women targeting young people</w:t>
      </w:r>
      <w:bookmarkEnd w:id="57"/>
      <w:r w:rsidR="00107496" w:rsidRPr="00AE237D">
        <w:rPr>
          <w:b/>
          <w:bCs/>
        </w:rPr>
        <w:t xml:space="preserve"> </w:t>
      </w:r>
      <w:bookmarkStart w:id="58" w:name="_Hlk57891272"/>
    </w:p>
    <w:p w14:paraId="1FD796B6" w14:textId="24D9812B" w:rsidR="000C5939" w:rsidRPr="002906AF" w:rsidRDefault="008C6D1B" w:rsidP="006457DA">
      <w:pPr>
        <w:spacing w:after="120" w:line="276" w:lineRule="auto"/>
        <w:jc w:val="both"/>
        <w:rPr>
          <w:rFonts w:ascii="Arial" w:hAnsi="Arial" w:cs="Arial"/>
          <w:i/>
          <w:iCs/>
        </w:rPr>
      </w:pPr>
      <w:r w:rsidRPr="008C6D1B">
        <w:rPr>
          <w:rFonts w:ascii="Arial" w:hAnsi="Arial" w:cs="Arial"/>
          <w:i/>
          <w:iCs/>
        </w:rPr>
        <w:t xml:space="preserve">Refer to </w:t>
      </w:r>
      <w:r>
        <w:rPr>
          <w:rFonts w:ascii="Arial" w:hAnsi="Arial" w:cs="Arial"/>
          <w:i/>
          <w:iCs/>
        </w:rPr>
        <w:t>R</w:t>
      </w:r>
      <w:r w:rsidRPr="008C6D1B">
        <w:rPr>
          <w:rFonts w:ascii="Arial" w:hAnsi="Arial" w:cs="Arial"/>
          <w:i/>
          <w:iCs/>
        </w:rPr>
        <w:t xml:space="preserve">ecommendation </w:t>
      </w:r>
      <w:r w:rsidR="007A515D" w:rsidRPr="007A515D">
        <w:rPr>
          <w:rFonts w:ascii="Arial" w:hAnsi="Arial" w:cs="Arial"/>
          <w:i/>
          <w:iCs/>
        </w:rPr>
        <w:t>8</w:t>
      </w:r>
      <w:r w:rsidRPr="007A515D">
        <w:rPr>
          <w:rFonts w:ascii="Arial" w:hAnsi="Arial" w:cs="Arial"/>
          <w:i/>
          <w:iCs/>
        </w:rPr>
        <w:t xml:space="preserve"> </w:t>
      </w:r>
      <w:r w:rsidR="00FC2563">
        <w:rPr>
          <w:rFonts w:ascii="Arial" w:hAnsi="Arial" w:cs="Arial"/>
          <w:i/>
          <w:iCs/>
        </w:rPr>
        <w:t>regarding</w:t>
      </w:r>
      <w:r w:rsidR="007A515D">
        <w:rPr>
          <w:rFonts w:ascii="Arial" w:hAnsi="Arial" w:cs="Arial"/>
          <w:i/>
          <w:iCs/>
        </w:rPr>
        <w:t xml:space="preserve"> further investment in comprehensive </w:t>
      </w:r>
      <w:r w:rsidR="00FC2563">
        <w:rPr>
          <w:rFonts w:ascii="Arial" w:hAnsi="Arial" w:cs="Arial"/>
          <w:i/>
          <w:iCs/>
        </w:rPr>
        <w:t>s</w:t>
      </w:r>
      <w:r w:rsidR="007A515D">
        <w:rPr>
          <w:rFonts w:ascii="Arial" w:hAnsi="Arial" w:cs="Arial"/>
          <w:i/>
          <w:iCs/>
        </w:rPr>
        <w:t xml:space="preserve">exuality and </w:t>
      </w:r>
      <w:r w:rsidR="00FC2563">
        <w:rPr>
          <w:rFonts w:ascii="Arial" w:hAnsi="Arial" w:cs="Arial"/>
          <w:i/>
          <w:iCs/>
        </w:rPr>
        <w:t>r</w:t>
      </w:r>
      <w:r w:rsidR="007A515D">
        <w:rPr>
          <w:rFonts w:ascii="Arial" w:hAnsi="Arial" w:cs="Arial"/>
          <w:i/>
          <w:iCs/>
        </w:rPr>
        <w:t xml:space="preserve">elationships </w:t>
      </w:r>
      <w:r w:rsidR="00FC2563">
        <w:rPr>
          <w:rFonts w:ascii="Arial" w:hAnsi="Arial" w:cs="Arial"/>
          <w:i/>
          <w:iCs/>
        </w:rPr>
        <w:t>e</w:t>
      </w:r>
      <w:r w:rsidR="007A515D">
        <w:rPr>
          <w:rFonts w:ascii="Arial" w:hAnsi="Arial" w:cs="Arial"/>
          <w:i/>
          <w:iCs/>
        </w:rPr>
        <w:t xml:space="preserve">ducation, inclusive of </w:t>
      </w:r>
      <w:r w:rsidRPr="007A515D">
        <w:rPr>
          <w:rFonts w:ascii="Arial" w:hAnsi="Arial" w:cs="Arial"/>
          <w:i/>
          <w:iCs/>
        </w:rPr>
        <w:t>Respectful Relationships Educatio</w:t>
      </w:r>
      <w:r w:rsidR="007A515D">
        <w:rPr>
          <w:rFonts w:ascii="Arial" w:hAnsi="Arial" w:cs="Arial"/>
          <w:i/>
          <w:iCs/>
        </w:rPr>
        <w:t>n.</w:t>
      </w:r>
    </w:p>
    <w:p w14:paraId="34693363" w14:textId="7C2013B0" w:rsidR="00080A02" w:rsidRPr="004D5464" w:rsidRDefault="00AC056D" w:rsidP="006457DA">
      <w:pPr>
        <w:spacing w:after="120" w:line="276" w:lineRule="auto"/>
        <w:jc w:val="both"/>
        <w:rPr>
          <w:rFonts w:ascii="Arial" w:hAnsi="Arial" w:cs="Arial"/>
          <w:color w:val="ED7D31" w:themeColor="accent2"/>
          <w:sz w:val="24"/>
          <w:szCs w:val="24"/>
        </w:rPr>
      </w:pPr>
      <w:r w:rsidRPr="0092576D">
        <w:rPr>
          <w:rFonts w:ascii="Arial" w:hAnsi="Arial" w:cs="Arial"/>
          <w:color w:val="ED7D31" w:themeColor="accent2"/>
          <w:sz w:val="24"/>
          <w:szCs w:val="24"/>
        </w:rPr>
        <w:t xml:space="preserve">Recommendation </w:t>
      </w:r>
      <w:r w:rsidR="000C5939">
        <w:rPr>
          <w:rFonts w:ascii="Arial" w:hAnsi="Arial" w:cs="Arial"/>
          <w:color w:val="ED7D31" w:themeColor="accent2"/>
          <w:sz w:val="24"/>
          <w:szCs w:val="24"/>
        </w:rPr>
        <w:t>10</w:t>
      </w:r>
      <w:r w:rsidRPr="0092576D">
        <w:rPr>
          <w:rFonts w:ascii="Arial" w:hAnsi="Arial" w:cs="Arial"/>
          <w:color w:val="ED7D31" w:themeColor="accent2"/>
          <w:sz w:val="24"/>
          <w:szCs w:val="24"/>
        </w:rPr>
        <w:t xml:space="preserve">: </w:t>
      </w:r>
      <w:r w:rsidR="00111BB1" w:rsidRPr="004D5464">
        <w:rPr>
          <w:rFonts w:ascii="Arial" w:hAnsi="Arial" w:cs="Arial"/>
          <w:color w:val="ED7D31" w:themeColor="accent2"/>
          <w:sz w:val="24"/>
          <w:szCs w:val="24"/>
        </w:rPr>
        <w:t>Strengthen the focus on sexual assault and harassment in</w:t>
      </w:r>
      <w:r w:rsidR="00EB335E" w:rsidRPr="004D5464">
        <w:rPr>
          <w:rFonts w:ascii="Arial" w:hAnsi="Arial" w:cs="Arial"/>
          <w:color w:val="ED7D31" w:themeColor="accent2"/>
          <w:sz w:val="24"/>
          <w:szCs w:val="24"/>
        </w:rPr>
        <w:t xml:space="preserve"> initiatives to prevent and respond to</w:t>
      </w:r>
      <w:r w:rsidR="00242BC3" w:rsidRPr="004D5464">
        <w:rPr>
          <w:rFonts w:ascii="Arial" w:hAnsi="Arial" w:cs="Arial"/>
          <w:color w:val="ED7D31" w:themeColor="accent2"/>
          <w:sz w:val="24"/>
          <w:szCs w:val="24"/>
        </w:rPr>
        <w:t xml:space="preserve"> violence against women</w:t>
      </w:r>
      <w:r w:rsidR="00111BB1" w:rsidRPr="004D5464">
        <w:rPr>
          <w:rFonts w:ascii="Arial" w:hAnsi="Arial" w:cs="Arial"/>
          <w:color w:val="ED7D31" w:themeColor="accent2"/>
          <w:sz w:val="24"/>
          <w:szCs w:val="24"/>
        </w:rPr>
        <w:t xml:space="preserve"> </w:t>
      </w:r>
    </w:p>
    <w:p w14:paraId="5EC1B7E5" w14:textId="3FD1F59B" w:rsidR="00111BB1" w:rsidRPr="0092576D" w:rsidRDefault="00111BB1" w:rsidP="006457DA">
      <w:pPr>
        <w:spacing w:after="120" w:line="276" w:lineRule="auto"/>
        <w:jc w:val="both"/>
        <w:rPr>
          <w:rFonts w:ascii="Arial" w:hAnsi="Arial" w:cs="Arial"/>
          <w:color w:val="ED7D31" w:themeColor="accent2"/>
          <w:sz w:val="24"/>
          <w:szCs w:val="24"/>
        </w:rPr>
      </w:pPr>
      <w:r>
        <w:rPr>
          <w:rFonts w:ascii="Arial" w:hAnsi="Arial" w:cs="Arial"/>
        </w:rPr>
        <w:t>This should include</w:t>
      </w:r>
      <w:r w:rsidR="00166D0C">
        <w:rPr>
          <w:rFonts w:ascii="Arial" w:hAnsi="Arial" w:cs="Arial"/>
        </w:rPr>
        <w:t>:</w:t>
      </w:r>
    </w:p>
    <w:p w14:paraId="54B27D17" w14:textId="59992866" w:rsidR="00526B35" w:rsidRDefault="00166D0C" w:rsidP="006457DA">
      <w:pPr>
        <w:pStyle w:val="ListParagraph"/>
        <w:numPr>
          <w:ilvl w:val="0"/>
          <w:numId w:val="4"/>
        </w:numPr>
        <w:spacing w:after="120" w:line="276" w:lineRule="auto"/>
        <w:contextualSpacing w:val="0"/>
        <w:jc w:val="both"/>
        <w:rPr>
          <w:rFonts w:ascii="Arial" w:hAnsi="Arial" w:cs="Arial"/>
        </w:rPr>
      </w:pPr>
      <w:r>
        <w:rPr>
          <w:rFonts w:ascii="Arial" w:hAnsi="Arial" w:cs="Arial"/>
        </w:rPr>
        <w:t xml:space="preserve">Action across a range of settings, </w:t>
      </w:r>
      <w:r w:rsidR="00526B35" w:rsidRPr="009F7D3E">
        <w:rPr>
          <w:rFonts w:ascii="Arial" w:hAnsi="Arial" w:cs="Arial"/>
        </w:rPr>
        <w:t>including education settings, male-dominated industries and industries with high proportions of young employees</w:t>
      </w:r>
      <w:r w:rsidR="002906AF">
        <w:rPr>
          <w:rFonts w:ascii="Arial" w:hAnsi="Arial" w:cs="Arial"/>
        </w:rPr>
        <w:t>.</w:t>
      </w:r>
    </w:p>
    <w:p w14:paraId="52C1D688" w14:textId="473D1EA5" w:rsidR="00741395" w:rsidRDefault="00741395" w:rsidP="006457DA">
      <w:pPr>
        <w:pStyle w:val="ListParagraph"/>
        <w:numPr>
          <w:ilvl w:val="0"/>
          <w:numId w:val="4"/>
        </w:numPr>
        <w:spacing w:after="120" w:line="276" w:lineRule="auto"/>
        <w:contextualSpacing w:val="0"/>
        <w:jc w:val="both"/>
        <w:rPr>
          <w:rFonts w:ascii="Arial" w:hAnsi="Arial" w:cs="Arial"/>
        </w:rPr>
      </w:pPr>
      <w:r>
        <w:rPr>
          <w:rFonts w:ascii="Arial" w:hAnsi="Arial" w:cs="Arial"/>
        </w:rPr>
        <w:t>Acting on the recommendations of the Australian Human Rights Commission’s Respect@Work report on sexual harassment</w:t>
      </w:r>
      <w:r w:rsidR="002906AF">
        <w:rPr>
          <w:rFonts w:ascii="Arial" w:hAnsi="Arial" w:cs="Arial"/>
        </w:rPr>
        <w:t>.</w:t>
      </w:r>
    </w:p>
    <w:p w14:paraId="2176C609" w14:textId="7BBA3FD8" w:rsidR="00741395" w:rsidRPr="00EC63C9" w:rsidRDefault="00EC63C9" w:rsidP="006457DA">
      <w:pPr>
        <w:spacing w:after="120" w:line="276" w:lineRule="auto"/>
        <w:jc w:val="both"/>
        <w:rPr>
          <w:rFonts w:ascii="Arial" w:hAnsi="Arial" w:cs="Arial"/>
          <w:color w:val="ED7D31" w:themeColor="accent2"/>
          <w:sz w:val="24"/>
          <w:szCs w:val="24"/>
        </w:rPr>
      </w:pPr>
      <w:r w:rsidRPr="00EC63C9">
        <w:rPr>
          <w:rFonts w:ascii="Arial" w:hAnsi="Arial" w:cs="Arial"/>
          <w:color w:val="ED7D31" w:themeColor="accent2"/>
          <w:sz w:val="24"/>
          <w:szCs w:val="24"/>
        </w:rPr>
        <w:t xml:space="preserve">Recommendation </w:t>
      </w:r>
      <w:r w:rsidR="0098434D">
        <w:rPr>
          <w:rFonts w:ascii="Arial" w:hAnsi="Arial" w:cs="Arial"/>
          <w:color w:val="ED7D31" w:themeColor="accent2"/>
          <w:sz w:val="24"/>
          <w:szCs w:val="24"/>
        </w:rPr>
        <w:t>11</w:t>
      </w:r>
      <w:r w:rsidRPr="00EC63C9">
        <w:rPr>
          <w:rFonts w:ascii="Arial" w:hAnsi="Arial" w:cs="Arial"/>
          <w:color w:val="ED7D31" w:themeColor="accent2"/>
          <w:sz w:val="24"/>
          <w:szCs w:val="24"/>
        </w:rPr>
        <w:t xml:space="preserve">: </w:t>
      </w:r>
      <w:r w:rsidR="00AC056D" w:rsidRPr="00EC63C9">
        <w:rPr>
          <w:rFonts w:ascii="Arial" w:hAnsi="Arial" w:cs="Arial"/>
          <w:color w:val="ED7D31" w:themeColor="accent2"/>
          <w:sz w:val="24"/>
          <w:szCs w:val="24"/>
        </w:rPr>
        <w:t>Scal</w:t>
      </w:r>
      <w:r w:rsidRPr="00EC63C9">
        <w:rPr>
          <w:rFonts w:ascii="Arial" w:hAnsi="Arial" w:cs="Arial"/>
          <w:color w:val="ED7D31" w:themeColor="accent2"/>
          <w:sz w:val="24"/>
          <w:szCs w:val="24"/>
        </w:rPr>
        <w:t>e</w:t>
      </w:r>
      <w:r w:rsidR="00AC056D" w:rsidRPr="00EC63C9">
        <w:rPr>
          <w:rFonts w:ascii="Arial" w:hAnsi="Arial" w:cs="Arial"/>
          <w:color w:val="ED7D31" w:themeColor="accent2"/>
          <w:sz w:val="24"/>
          <w:szCs w:val="24"/>
        </w:rPr>
        <w:t xml:space="preserve"> up efforts to promote gender equality and prevent violence against women in the media and advertising settings</w:t>
      </w:r>
      <w:r w:rsidR="00FC2563">
        <w:rPr>
          <w:rFonts w:ascii="Arial" w:hAnsi="Arial" w:cs="Arial"/>
          <w:color w:val="ED7D31" w:themeColor="accent2"/>
          <w:sz w:val="24"/>
          <w:szCs w:val="24"/>
        </w:rPr>
        <w:t>.</w:t>
      </w:r>
    </w:p>
    <w:p w14:paraId="3D00CD75" w14:textId="3DBF8693" w:rsidR="00943A40" w:rsidRDefault="00351BC7" w:rsidP="006457DA">
      <w:pPr>
        <w:spacing w:after="120" w:line="276" w:lineRule="auto"/>
        <w:jc w:val="both"/>
        <w:rPr>
          <w:rFonts w:ascii="Arial" w:hAnsi="Arial" w:cs="Arial"/>
          <w:color w:val="ED7D31" w:themeColor="accent2"/>
          <w:sz w:val="24"/>
          <w:szCs w:val="24"/>
        </w:rPr>
      </w:pPr>
      <w:r w:rsidRPr="00CC0CD3">
        <w:rPr>
          <w:rFonts w:ascii="Arial" w:hAnsi="Arial" w:cs="Arial"/>
          <w:color w:val="ED7D31" w:themeColor="accent2"/>
          <w:sz w:val="24"/>
          <w:szCs w:val="24"/>
        </w:rPr>
        <w:t xml:space="preserve">Recommendation </w:t>
      </w:r>
      <w:r w:rsidR="0098434D">
        <w:rPr>
          <w:rFonts w:ascii="Arial" w:hAnsi="Arial" w:cs="Arial"/>
          <w:color w:val="ED7D31" w:themeColor="accent2"/>
          <w:sz w:val="24"/>
          <w:szCs w:val="24"/>
        </w:rPr>
        <w:t>12</w:t>
      </w:r>
      <w:r w:rsidRPr="00CC0CD3">
        <w:rPr>
          <w:rFonts w:ascii="Arial" w:hAnsi="Arial" w:cs="Arial"/>
          <w:color w:val="ED7D31" w:themeColor="accent2"/>
          <w:sz w:val="24"/>
          <w:szCs w:val="24"/>
        </w:rPr>
        <w:t xml:space="preserve">: </w:t>
      </w:r>
      <w:r w:rsidR="004D5464" w:rsidRPr="008102CE">
        <w:rPr>
          <w:rFonts w:ascii="Arial" w:hAnsi="Arial" w:cs="Arial"/>
          <w:color w:val="ED7D31" w:themeColor="accent2"/>
          <w:sz w:val="24"/>
          <w:szCs w:val="24"/>
        </w:rPr>
        <w:t xml:space="preserve">Strengthen the focus on challenging rigid masculine gender norms </w:t>
      </w:r>
      <w:r w:rsidR="00CC0CD3" w:rsidRPr="008102CE">
        <w:rPr>
          <w:rFonts w:ascii="Arial" w:hAnsi="Arial" w:cs="Arial"/>
          <w:color w:val="ED7D31" w:themeColor="accent2"/>
          <w:sz w:val="24"/>
          <w:szCs w:val="24"/>
        </w:rPr>
        <w:t xml:space="preserve">in primary prevention </w:t>
      </w:r>
    </w:p>
    <w:p w14:paraId="49B55310" w14:textId="13124130" w:rsidR="004D5464" w:rsidRPr="00B2659F" w:rsidRDefault="00943A40" w:rsidP="006457DA">
      <w:pPr>
        <w:spacing w:after="120" w:line="276" w:lineRule="auto"/>
        <w:jc w:val="both"/>
        <w:rPr>
          <w:rFonts w:ascii="Arial" w:hAnsi="Arial" w:cs="Arial"/>
        </w:rPr>
      </w:pPr>
      <w:r w:rsidRPr="00B2659F">
        <w:rPr>
          <w:rFonts w:ascii="Arial" w:hAnsi="Arial" w:cs="Arial"/>
        </w:rPr>
        <w:t xml:space="preserve">This should include </w:t>
      </w:r>
      <w:r w:rsidR="004D5464" w:rsidRPr="00B2659F">
        <w:rPr>
          <w:rFonts w:ascii="Arial" w:hAnsi="Arial" w:cs="Arial"/>
        </w:rPr>
        <w:t>piloting and scaling up targeted initiatives that complement</w:t>
      </w:r>
      <w:r w:rsidR="004D5464" w:rsidRPr="00CC0CD3">
        <w:rPr>
          <w:rFonts w:ascii="Arial" w:hAnsi="Arial" w:cs="Arial"/>
        </w:rPr>
        <w:t xml:space="preserve"> </w:t>
      </w:r>
      <w:r w:rsidR="004D5464" w:rsidRPr="00B2659F">
        <w:rPr>
          <w:rFonts w:ascii="Arial" w:hAnsi="Arial" w:cs="Arial"/>
        </w:rPr>
        <w:t>existing efforts to promote gender equality and prevent violence against women</w:t>
      </w:r>
      <w:r w:rsidR="002906AF">
        <w:rPr>
          <w:rFonts w:ascii="Arial" w:hAnsi="Arial" w:cs="Arial"/>
        </w:rPr>
        <w:t>.</w:t>
      </w:r>
      <w:r w:rsidR="004D5464" w:rsidRPr="00B2659F">
        <w:rPr>
          <w:rFonts w:ascii="Arial" w:hAnsi="Arial" w:cs="Arial"/>
        </w:rPr>
        <w:t xml:space="preserve"> </w:t>
      </w:r>
    </w:p>
    <w:p w14:paraId="1F1144D0" w14:textId="2A410175" w:rsidR="00B2659F" w:rsidRDefault="00CC0CD3" w:rsidP="006457DA">
      <w:pPr>
        <w:spacing w:after="120" w:line="276" w:lineRule="auto"/>
        <w:jc w:val="both"/>
        <w:rPr>
          <w:rFonts w:ascii="Arial" w:hAnsi="Arial" w:cs="Arial"/>
          <w:color w:val="ED7D31" w:themeColor="accent2"/>
          <w:sz w:val="24"/>
          <w:szCs w:val="24"/>
        </w:rPr>
      </w:pPr>
      <w:r w:rsidRPr="008102CE">
        <w:rPr>
          <w:rFonts w:ascii="Arial" w:hAnsi="Arial" w:cs="Arial"/>
          <w:color w:val="ED7D31" w:themeColor="accent2"/>
          <w:sz w:val="24"/>
          <w:szCs w:val="24"/>
        </w:rPr>
        <w:t xml:space="preserve">Recommendation </w:t>
      </w:r>
      <w:r w:rsidR="0098434D">
        <w:rPr>
          <w:rFonts w:ascii="Arial" w:hAnsi="Arial" w:cs="Arial"/>
          <w:color w:val="ED7D31" w:themeColor="accent2"/>
          <w:sz w:val="24"/>
          <w:szCs w:val="24"/>
        </w:rPr>
        <w:t>13</w:t>
      </w:r>
      <w:r w:rsidRPr="008102CE">
        <w:rPr>
          <w:rFonts w:ascii="Arial" w:hAnsi="Arial" w:cs="Arial"/>
          <w:color w:val="ED7D31" w:themeColor="accent2"/>
          <w:sz w:val="24"/>
          <w:szCs w:val="24"/>
        </w:rPr>
        <w:t xml:space="preserve">: </w:t>
      </w:r>
      <w:r w:rsidR="00E32C42">
        <w:rPr>
          <w:rFonts w:ascii="Arial" w:hAnsi="Arial" w:cs="Arial"/>
          <w:color w:val="ED7D31" w:themeColor="accent2"/>
          <w:sz w:val="24"/>
          <w:szCs w:val="24"/>
        </w:rPr>
        <w:t>Incorporate a focus on reproductive coercion</w:t>
      </w:r>
      <w:r w:rsidR="002906AF">
        <w:rPr>
          <w:rFonts w:ascii="Arial" w:hAnsi="Arial" w:cs="Arial"/>
          <w:color w:val="ED7D31" w:themeColor="accent2"/>
          <w:sz w:val="24"/>
          <w:szCs w:val="24"/>
        </w:rPr>
        <w:t>/abuse</w:t>
      </w:r>
      <w:r w:rsidR="00E32C42">
        <w:rPr>
          <w:rFonts w:ascii="Arial" w:hAnsi="Arial" w:cs="Arial"/>
          <w:color w:val="ED7D31" w:themeColor="accent2"/>
          <w:sz w:val="24"/>
          <w:szCs w:val="24"/>
        </w:rPr>
        <w:t xml:space="preserve"> into primary prevention and response to violence against women</w:t>
      </w:r>
    </w:p>
    <w:p w14:paraId="005E0537" w14:textId="77777777" w:rsidR="00B2659F" w:rsidRPr="00B2659F" w:rsidRDefault="00B2659F" w:rsidP="006457DA">
      <w:pPr>
        <w:spacing w:after="120" w:line="276" w:lineRule="auto"/>
        <w:jc w:val="both"/>
        <w:rPr>
          <w:rFonts w:ascii="Arial" w:hAnsi="Arial" w:cs="Arial"/>
        </w:rPr>
      </w:pPr>
      <w:r w:rsidRPr="00B2659F">
        <w:rPr>
          <w:rFonts w:ascii="Arial" w:hAnsi="Arial" w:cs="Arial"/>
        </w:rPr>
        <w:t>This should include:</w:t>
      </w:r>
    </w:p>
    <w:p w14:paraId="329ACA31" w14:textId="72E9EC11" w:rsidR="00B2659F" w:rsidRPr="00B2659F" w:rsidRDefault="009410E3" w:rsidP="006457DA">
      <w:pPr>
        <w:pStyle w:val="ListParagraph"/>
        <w:numPr>
          <w:ilvl w:val="0"/>
          <w:numId w:val="36"/>
        </w:numPr>
        <w:spacing w:after="120" w:line="276" w:lineRule="auto"/>
        <w:contextualSpacing w:val="0"/>
        <w:jc w:val="both"/>
        <w:rPr>
          <w:rFonts w:ascii="Arial" w:hAnsi="Arial" w:cs="Arial"/>
        </w:rPr>
      </w:pPr>
      <w:r w:rsidRPr="00B2659F">
        <w:rPr>
          <w:rFonts w:ascii="Arial" w:hAnsi="Arial" w:cs="Arial"/>
        </w:rPr>
        <w:t>Explicitly includ</w:t>
      </w:r>
      <w:r w:rsidR="00B2659F">
        <w:rPr>
          <w:rFonts w:ascii="Arial" w:hAnsi="Arial" w:cs="Arial"/>
        </w:rPr>
        <w:t>ing</w:t>
      </w:r>
      <w:r w:rsidRPr="00B2659F">
        <w:rPr>
          <w:rFonts w:ascii="Arial" w:hAnsi="Arial" w:cs="Arial"/>
        </w:rPr>
        <w:t xml:space="preserve"> reproductive coercion/abuse in frameworks for the primary prevention of and response to violence against women</w:t>
      </w:r>
      <w:r w:rsidR="00B75C37">
        <w:rPr>
          <w:rFonts w:ascii="Arial" w:hAnsi="Arial" w:cs="Arial"/>
        </w:rPr>
        <w:t>, including contextualising the gendered drivers of violence in a sexual and reproductive health context</w:t>
      </w:r>
      <w:r w:rsidR="002906AF">
        <w:rPr>
          <w:rFonts w:ascii="Arial" w:hAnsi="Arial" w:cs="Arial"/>
        </w:rPr>
        <w:t>.</w:t>
      </w:r>
    </w:p>
    <w:p w14:paraId="358DA357" w14:textId="5F4B9D99" w:rsidR="009410E3" w:rsidRPr="00B2659F" w:rsidRDefault="00B2659F" w:rsidP="006457DA">
      <w:pPr>
        <w:pStyle w:val="ListParagraph"/>
        <w:numPr>
          <w:ilvl w:val="0"/>
          <w:numId w:val="36"/>
        </w:numPr>
        <w:spacing w:after="120" w:line="276" w:lineRule="auto"/>
        <w:contextualSpacing w:val="0"/>
        <w:jc w:val="both"/>
        <w:rPr>
          <w:rFonts w:ascii="Arial" w:hAnsi="Arial" w:cs="Arial"/>
        </w:rPr>
      </w:pPr>
      <w:r>
        <w:rPr>
          <w:rFonts w:ascii="Arial" w:hAnsi="Arial" w:cs="Arial"/>
        </w:rPr>
        <w:t>F</w:t>
      </w:r>
      <w:r w:rsidR="005D5747" w:rsidRPr="00B2659F">
        <w:rPr>
          <w:rFonts w:ascii="Arial" w:hAnsi="Arial" w:cs="Arial"/>
        </w:rPr>
        <w:t>oster</w:t>
      </w:r>
      <w:r>
        <w:rPr>
          <w:rFonts w:ascii="Arial" w:hAnsi="Arial" w:cs="Arial"/>
        </w:rPr>
        <w:t>ing</w:t>
      </w:r>
      <w:r w:rsidR="005D5747" w:rsidRPr="00B2659F">
        <w:rPr>
          <w:rFonts w:ascii="Arial" w:hAnsi="Arial" w:cs="Arial"/>
        </w:rPr>
        <w:t xml:space="preserve"> collaboration across the health and violence against women sectors to build capability to </w:t>
      </w:r>
      <w:r w:rsidR="00CC2FE9" w:rsidRPr="00B2659F">
        <w:rPr>
          <w:rFonts w:ascii="Arial" w:hAnsi="Arial" w:cs="Arial"/>
        </w:rPr>
        <w:t>effectively prevent, identify and respond to reproductive coercion/abuse</w:t>
      </w:r>
      <w:r w:rsidR="002906AF">
        <w:rPr>
          <w:rFonts w:ascii="Arial" w:hAnsi="Arial" w:cs="Arial"/>
        </w:rPr>
        <w:t>.</w:t>
      </w:r>
    </w:p>
    <w:bookmarkEnd w:id="58"/>
    <w:p w14:paraId="7903699B" w14:textId="0ECD797C" w:rsidR="00DD1686" w:rsidRPr="00DD1686" w:rsidRDefault="00DD1686" w:rsidP="006457DA">
      <w:pPr>
        <w:spacing w:after="120" w:line="276" w:lineRule="auto"/>
        <w:jc w:val="both"/>
        <w:rPr>
          <w:rFonts w:ascii="Arial" w:hAnsi="Arial" w:cs="Arial"/>
          <w:color w:val="ED7D31" w:themeColor="accent2"/>
          <w:sz w:val="24"/>
          <w:szCs w:val="24"/>
        </w:rPr>
      </w:pPr>
      <w:r w:rsidRPr="00DD1686">
        <w:rPr>
          <w:rFonts w:ascii="Arial" w:hAnsi="Arial" w:cs="Arial"/>
          <w:color w:val="ED7D31" w:themeColor="accent2"/>
          <w:sz w:val="24"/>
          <w:szCs w:val="24"/>
        </w:rPr>
        <w:lastRenderedPageBreak/>
        <w:t xml:space="preserve">Recommendation </w:t>
      </w:r>
      <w:r w:rsidR="0098434D">
        <w:rPr>
          <w:rFonts w:ascii="Arial" w:hAnsi="Arial" w:cs="Arial"/>
          <w:color w:val="ED7D31" w:themeColor="accent2"/>
          <w:sz w:val="24"/>
          <w:szCs w:val="24"/>
        </w:rPr>
        <w:t>14</w:t>
      </w:r>
      <w:r w:rsidRPr="00DD1686">
        <w:rPr>
          <w:rFonts w:ascii="Arial" w:hAnsi="Arial" w:cs="Arial"/>
          <w:color w:val="ED7D31" w:themeColor="accent2"/>
          <w:sz w:val="24"/>
          <w:szCs w:val="24"/>
        </w:rPr>
        <w:t>: Ensure a strong intersectional focus across all primary prevention initiatives, as well as continuing to roll out and scale up initiatives tailored to specific population groups</w:t>
      </w:r>
      <w:r w:rsidR="00FC2563">
        <w:rPr>
          <w:rFonts w:ascii="Arial" w:hAnsi="Arial" w:cs="Arial"/>
          <w:color w:val="ED7D31" w:themeColor="accent2"/>
          <w:sz w:val="24"/>
          <w:szCs w:val="24"/>
        </w:rPr>
        <w:t>.</w:t>
      </w:r>
    </w:p>
    <w:p w14:paraId="44DFBFC5" w14:textId="33302B58" w:rsidR="001F00DC" w:rsidRPr="004D5464" w:rsidRDefault="00DD1686" w:rsidP="006457DA">
      <w:pPr>
        <w:spacing w:after="120" w:line="276" w:lineRule="auto"/>
        <w:jc w:val="both"/>
        <w:rPr>
          <w:rFonts w:ascii="Arial" w:hAnsi="Arial" w:cs="Arial"/>
          <w:color w:val="ED7D31" w:themeColor="accent2"/>
          <w:sz w:val="24"/>
          <w:szCs w:val="24"/>
        </w:rPr>
      </w:pPr>
      <w:r w:rsidRPr="004D5464">
        <w:rPr>
          <w:rFonts w:ascii="Arial" w:hAnsi="Arial" w:cs="Arial"/>
          <w:color w:val="ED7D31" w:themeColor="accent2"/>
          <w:sz w:val="24"/>
          <w:szCs w:val="24"/>
        </w:rPr>
        <w:t xml:space="preserve">Recommendation </w:t>
      </w:r>
      <w:r w:rsidR="0098434D">
        <w:rPr>
          <w:rFonts w:ascii="Arial" w:hAnsi="Arial" w:cs="Arial"/>
          <w:color w:val="ED7D31" w:themeColor="accent2"/>
          <w:sz w:val="24"/>
          <w:szCs w:val="24"/>
        </w:rPr>
        <w:t>15</w:t>
      </w:r>
      <w:r w:rsidRPr="004D5464">
        <w:rPr>
          <w:rFonts w:ascii="Arial" w:hAnsi="Arial" w:cs="Arial"/>
          <w:color w:val="ED7D31" w:themeColor="accent2"/>
          <w:sz w:val="24"/>
          <w:szCs w:val="24"/>
        </w:rPr>
        <w:t>: Undertake f</w:t>
      </w:r>
      <w:r w:rsidR="002A4A00" w:rsidRPr="004D5464">
        <w:rPr>
          <w:rFonts w:ascii="Arial" w:hAnsi="Arial" w:cs="Arial"/>
          <w:color w:val="ED7D31" w:themeColor="accent2"/>
          <w:sz w:val="24"/>
          <w:szCs w:val="24"/>
        </w:rPr>
        <w:t>urther research</w:t>
      </w:r>
      <w:r w:rsidRPr="004D5464">
        <w:rPr>
          <w:rFonts w:ascii="Arial" w:hAnsi="Arial" w:cs="Arial"/>
          <w:color w:val="ED7D31" w:themeColor="accent2"/>
          <w:sz w:val="24"/>
          <w:szCs w:val="24"/>
        </w:rPr>
        <w:t xml:space="preserve"> to strengthen the evidence base for primary prevention of violence against women</w:t>
      </w:r>
    </w:p>
    <w:p w14:paraId="1FD99738" w14:textId="3F780F66" w:rsidR="004D5464" w:rsidRDefault="004D5464" w:rsidP="006457DA">
      <w:pPr>
        <w:spacing w:after="120" w:line="276" w:lineRule="auto"/>
        <w:jc w:val="both"/>
        <w:rPr>
          <w:rFonts w:ascii="Arial" w:hAnsi="Arial" w:cs="Arial"/>
        </w:rPr>
      </w:pPr>
      <w:r>
        <w:rPr>
          <w:rFonts w:ascii="Arial" w:hAnsi="Arial" w:cs="Arial"/>
        </w:rPr>
        <w:t>This should include:</w:t>
      </w:r>
    </w:p>
    <w:p w14:paraId="3C9F5ED7" w14:textId="08E969BF" w:rsidR="002A4A00" w:rsidRDefault="004D5464" w:rsidP="006457DA">
      <w:pPr>
        <w:pStyle w:val="ListParagraph"/>
        <w:numPr>
          <w:ilvl w:val="0"/>
          <w:numId w:val="36"/>
        </w:numPr>
        <w:spacing w:after="120" w:line="276" w:lineRule="auto"/>
        <w:contextualSpacing w:val="0"/>
        <w:jc w:val="both"/>
        <w:rPr>
          <w:rFonts w:ascii="Arial" w:hAnsi="Arial" w:cs="Arial"/>
        </w:rPr>
      </w:pPr>
      <w:r>
        <w:rPr>
          <w:rFonts w:ascii="Arial" w:hAnsi="Arial" w:cs="Arial"/>
        </w:rPr>
        <w:t>R</w:t>
      </w:r>
      <w:r w:rsidR="002A4A00" w:rsidRPr="002A4A00">
        <w:rPr>
          <w:rFonts w:ascii="Arial" w:hAnsi="Arial" w:cs="Arial"/>
        </w:rPr>
        <w:t xml:space="preserve">esearch </w:t>
      </w:r>
      <w:r>
        <w:rPr>
          <w:rFonts w:ascii="Arial" w:hAnsi="Arial" w:cs="Arial"/>
        </w:rPr>
        <w:t>into and evaluation of</w:t>
      </w:r>
      <w:r w:rsidR="002A4A00" w:rsidRPr="002A4A00">
        <w:rPr>
          <w:rFonts w:ascii="Arial" w:hAnsi="Arial" w:cs="Arial"/>
        </w:rPr>
        <w:t xml:space="preserve"> media literacy interventions to test their effectiveness and further refine the approach. </w:t>
      </w:r>
    </w:p>
    <w:p w14:paraId="45747325" w14:textId="0D9165F0" w:rsidR="002A4A00" w:rsidRDefault="004D5464" w:rsidP="006457DA">
      <w:pPr>
        <w:pStyle w:val="ListParagraph"/>
        <w:numPr>
          <w:ilvl w:val="0"/>
          <w:numId w:val="36"/>
        </w:numPr>
        <w:spacing w:after="120" w:line="276" w:lineRule="auto"/>
        <w:contextualSpacing w:val="0"/>
        <w:jc w:val="both"/>
        <w:rPr>
          <w:rFonts w:ascii="Arial" w:hAnsi="Arial" w:cs="Arial"/>
        </w:rPr>
      </w:pPr>
      <w:r>
        <w:rPr>
          <w:rFonts w:ascii="Arial" w:hAnsi="Arial" w:cs="Arial"/>
        </w:rPr>
        <w:t>R</w:t>
      </w:r>
      <w:r w:rsidRPr="00014552">
        <w:rPr>
          <w:rFonts w:ascii="Arial" w:hAnsi="Arial" w:cs="Arial"/>
        </w:rPr>
        <w:t xml:space="preserve">esearch on masculinities that includes intersectional experiences </w:t>
      </w:r>
      <w:r>
        <w:rPr>
          <w:rFonts w:ascii="Arial" w:hAnsi="Arial" w:cs="Arial"/>
        </w:rPr>
        <w:t>and</w:t>
      </w:r>
      <w:r w:rsidRPr="00014552">
        <w:rPr>
          <w:rFonts w:ascii="Arial" w:hAnsi="Arial" w:cs="Arial"/>
        </w:rPr>
        <w:t xml:space="preserve"> impacts in diverse communities</w:t>
      </w:r>
      <w:r w:rsidR="002906AF">
        <w:rPr>
          <w:rFonts w:ascii="Arial" w:hAnsi="Arial" w:cs="Arial"/>
        </w:rPr>
        <w:t>.</w:t>
      </w:r>
    </w:p>
    <w:p w14:paraId="1E006ED9" w14:textId="1D669267" w:rsidR="00FC2563" w:rsidRDefault="00FC2563" w:rsidP="00FC2563">
      <w:pPr>
        <w:spacing w:after="120" w:line="276" w:lineRule="auto"/>
        <w:jc w:val="both"/>
        <w:rPr>
          <w:rFonts w:ascii="Arial" w:hAnsi="Arial" w:cs="Arial"/>
        </w:rPr>
      </w:pPr>
    </w:p>
    <w:p w14:paraId="030B3FA1" w14:textId="6194BE88" w:rsidR="00FC2563" w:rsidRDefault="00FC2563">
      <w:pPr>
        <w:rPr>
          <w:rFonts w:ascii="Arial" w:hAnsi="Arial" w:cs="Arial"/>
        </w:rPr>
      </w:pPr>
      <w:r>
        <w:rPr>
          <w:rFonts w:ascii="Arial" w:hAnsi="Arial" w:cs="Arial"/>
        </w:rPr>
        <w:br w:type="page"/>
      </w:r>
    </w:p>
    <w:p w14:paraId="02254F7A" w14:textId="29EEF45F" w:rsidR="00FC2563" w:rsidRDefault="00FC2563" w:rsidP="008253E9">
      <w:pPr>
        <w:pStyle w:val="Heading1"/>
        <w:spacing w:after="120" w:line="276" w:lineRule="auto"/>
        <w:jc w:val="both"/>
      </w:pPr>
      <w:bookmarkStart w:id="59" w:name="_Toc59045897"/>
      <w:r>
        <w:lastRenderedPageBreak/>
        <w:t>Conclusion</w:t>
      </w:r>
      <w:bookmarkEnd w:id="59"/>
    </w:p>
    <w:p w14:paraId="4F21BABA" w14:textId="2054AB4B" w:rsidR="00FC2563" w:rsidRDefault="00FC2563" w:rsidP="00FC2563">
      <w:pPr>
        <w:spacing w:after="120" w:line="276" w:lineRule="auto"/>
        <w:jc w:val="both"/>
        <w:rPr>
          <w:rFonts w:ascii="Arial" w:hAnsi="Arial" w:cs="Arial"/>
        </w:rPr>
      </w:pPr>
      <w:r>
        <w:rPr>
          <w:rFonts w:ascii="Arial" w:hAnsi="Arial" w:cs="Arial"/>
        </w:rPr>
        <w:t>This submission highlights the importance of applying an intersectional gender lens to all outcome domains of the Victorian Youth Strategy</w:t>
      </w:r>
      <w:r w:rsidR="002D39EC">
        <w:rPr>
          <w:rFonts w:ascii="Arial" w:hAnsi="Arial" w:cs="Arial"/>
        </w:rPr>
        <w:t xml:space="preserve">, </w:t>
      </w:r>
      <w:proofErr w:type="gramStart"/>
      <w:r w:rsidR="002D39EC">
        <w:rPr>
          <w:rFonts w:ascii="Arial" w:hAnsi="Arial" w:cs="Arial"/>
        </w:rPr>
        <w:t>in order to</w:t>
      </w:r>
      <w:proofErr w:type="gramEnd"/>
      <w:r w:rsidR="002D39EC">
        <w:rPr>
          <w:rFonts w:ascii="Arial" w:hAnsi="Arial" w:cs="Arial"/>
        </w:rPr>
        <w:t xml:space="preserve"> ensure that the Strategy addresses the diverse needs and experiences of young women</w:t>
      </w:r>
      <w:r w:rsidR="005E764E">
        <w:rPr>
          <w:rFonts w:ascii="Arial" w:hAnsi="Arial" w:cs="Arial"/>
        </w:rPr>
        <w:t xml:space="preserve"> and girls</w:t>
      </w:r>
      <w:r w:rsidR="002D39EC">
        <w:rPr>
          <w:rFonts w:ascii="Arial" w:hAnsi="Arial" w:cs="Arial"/>
        </w:rPr>
        <w:t xml:space="preserve">. A whole-of-government approach, which supports cross-sector collaboration, will be critical to the Strategy’s success.  </w:t>
      </w:r>
    </w:p>
    <w:p w14:paraId="0B1D1660" w14:textId="7AB8C09C" w:rsidR="002D39EC" w:rsidRDefault="002D39EC" w:rsidP="00FC2563">
      <w:pPr>
        <w:spacing w:after="120" w:line="276" w:lineRule="auto"/>
        <w:jc w:val="both"/>
        <w:rPr>
          <w:rFonts w:ascii="Arial" w:hAnsi="Arial" w:cs="Arial"/>
        </w:rPr>
      </w:pPr>
      <w:r>
        <w:rPr>
          <w:rFonts w:ascii="Arial" w:hAnsi="Arial" w:cs="Arial"/>
        </w:rPr>
        <w:t xml:space="preserve">The increasing rates of mental ill-health among young women, high rates of gendered violence experienced by young women, and ongoing barriers to accessing sexual and reproductive health services require particular attention in the Strategy. </w:t>
      </w:r>
    </w:p>
    <w:p w14:paraId="2875553D" w14:textId="5D023176" w:rsidR="002D39EC" w:rsidRDefault="002D39EC" w:rsidP="00FC2563">
      <w:pPr>
        <w:spacing w:after="120" w:line="276" w:lineRule="auto"/>
        <w:jc w:val="both"/>
        <w:rPr>
          <w:rFonts w:ascii="Arial" w:hAnsi="Arial" w:cs="Arial"/>
        </w:rPr>
      </w:pPr>
      <w:r>
        <w:rPr>
          <w:rFonts w:ascii="Arial" w:hAnsi="Arial" w:cs="Arial"/>
        </w:rPr>
        <w:t>Common themes arising across different outcome domains include:</w:t>
      </w:r>
      <w:r w:rsidR="009B4C1E">
        <w:rPr>
          <w:rFonts w:ascii="Arial" w:hAnsi="Arial" w:cs="Arial"/>
        </w:rPr>
        <w:t xml:space="preserve"> the value of investment in gender equality as a primary prevention/health promotion strategy;</w:t>
      </w:r>
      <w:r>
        <w:rPr>
          <w:rFonts w:ascii="Arial" w:hAnsi="Arial" w:cs="Arial"/>
        </w:rPr>
        <w:t xml:space="preserve"> the need for comprehensive and consistent sexuality and relationships education across </w:t>
      </w:r>
      <w:r w:rsidR="009B4C1E">
        <w:rPr>
          <w:rFonts w:ascii="Arial" w:hAnsi="Arial" w:cs="Arial"/>
        </w:rPr>
        <w:t>Victoria</w:t>
      </w:r>
      <w:r>
        <w:rPr>
          <w:rFonts w:ascii="Arial" w:hAnsi="Arial" w:cs="Arial"/>
        </w:rPr>
        <w:t>; the need for youth-friendly, gender-responsive, accessible and culturally-safe services; and the importance of addressing the sexualisation and objectification of young women, and promoting positive body image.</w:t>
      </w:r>
    </w:p>
    <w:p w14:paraId="0187B162" w14:textId="2EA5947F" w:rsidR="002D39EC" w:rsidRDefault="002D39EC" w:rsidP="00FC2563">
      <w:pPr>
        <w:spacing w:after="120" w:line="276" w:lineRule="auto"/>
        <w:jc w:val="both"/>
        <w:rPr>
          <w:rFonts w:ascii="Arial" w:hAnsi="Arial" w:cs="Arial"/>
        </w:rPr>
      </w:pPr>
      <w:r>
        <w:rPr>
          <w:rFonts w:ascii="Arial" w:hAnsi="Arial" w:cs="Arial"/>
        </w:rPr>
        <w:t xml:space="preserve">WHV </w:t>
      </w:r>
      <w:r w:rsidR="009B4C1E">
        <w:rPr>
          <w:rFonts w:ascii="Arial" w:hAnsi="Arial" w:cs="Arial"/>
        </w:rPr>
        <w:t>looks forward to working with the Victorian Government to improve health, social and economic outcomes for young women and girls, and all Victorian young people.</w:t>
      </w:r>
    </w:p>
    <w:p w14:paraId="4B73CC31" w14:textId="77777777" w:rsidR="00FC2563" w:rsidRPr="00FC2563" w:rsidRDefault="00FC2563" w:rsidP="00FC2563">
      <w:pPr>
        <w:spacing w:after="120" w:line="276" w:lineRule="auto"/>
        <w:jc w:val="both"/>
        <w:rPr>
          <w:rFonts w:ascii="Arial" w:hAnsi="Arial" w:cs="Arial"/>
        </w:rPr>
      </w:pPr>
    </w:p>
    <w:p w14:paraId="01801695" w14:textId="77777777" w:rsidR="00FC2563" w:rsidRPr="00FC2563" w:rsidRDefault="00FC2563" w:rsidP="00FC2563">
      <w:pPr>
        <w:spacing w:after="120" w:line="276" w:lineRule="auto"/>
        <w:jc w:val="both"/>
        <w:rPr>
          <w:rFonts w:ascii="Arial" w:hAnsi="Arial" w:cs="Arial"/>
        </w:rPr>
      </w:pPr>
    </w:p>
    <w:sectPr w:rsidR="00FC2563" w:rsidRPr="00FC2563">
      <w:headerReference w:type="even" r:id="rId34"/>
      <w:headerReference w:type="default" r:id="rId35"/>
      <w:footerReference w:type="default" r:id="rId36"/>
      <w:head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35F661" w14:textId="77777777" w:rsidR="00B208C1" w:rsidRDefault="00B208C1" w:rsidP="00455A42">
      <w:pPr>
        <w:spacing w:after="0" w:line="240" w:lineRule="auto"/>
      </w:pPr>
      <w:r>
        <w:separator/>
      </w:r>
    </w:p>
  </w:endnote>
  <w:endnote w:type="continuationSeparator" w:id="0">
    <w:p w14:paraId="2FFC589E" w14:textId="77777777" w:rsidR="00B208C1" w:rsidRDefault="00B208C1" w:rsidP="00455A42">
      <w:pPr>
        <w:spacing w:after="0" w:line="240" w:lineRule="auto"/>
      </w:pPr>
      <w:r>
        <w:continuationSeparator/>
      </w:r>
    </w:p>
  </w:endnote>
  <w:endnote w:type="continuationNotice" w:id="1">
    <w:p w14:paraId="02423E15" w14:textId="77777777" w:rsidR="00B208C1" w:rsidRDefault="00B208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7124366"/>
      <w:docPartObj>
        <w:docPartGallery w:val="Page Numbers (Bottom of Page)"/>
        <w:docPartUnique/>
      </w:docPartObj>
    </w:sdtPr>
    <w:sdtEndPr>
      <w:rPr>
        <w:rFonts w:ascii="Arial" w:hAnsi="Arial" w:cs="Arial"/>
        <w:noProof/>
        <w:sz w:val="20"/>
        <w:szCs w:val="20"/>
      </w:rPr>
    </w:sdtEndPr>
    <w:sdtContent>
      <w:p w14:paraId="0B5B5F85" w14:textId="0F7309EC" w:rsidR="00B208C1" w:rsidRPr="006B530E" w:rsidRDefault="00B208C1">
        <w:pPr>
          <w:pStyle w:val="Footer"/>
          <w:rPr>
            <w:rFonts w:ascii="Arial" w:hAnsi="Arial" w:cs="Arial"/>
            <w:sz w:val="20"/>
            <w:szCs w:val="20"/>
          </w:rPr>
        </w:pPr>
        <w:r w:rsidRPr="006B530E">
          <w:rPr>
            <w:rFonts w:ascii="Arial" w:hAnsi="Arial" w:cs="Arial"/>
            <w:sz w:val="20"/>
            <w:szCs w:val="20"/>
          </w:rPr>
          <w:fldChar w:fldCharType="begin"/>
        </w:r>
        <w:r w:rsidRPr="006B530E">
          <w:rPr>
            <w:rFonts w:ascii="Arial" w:hAnsi="Arial" w:cs="Arial"/>
            <w:sz w:val="20"/>
            <w:szCs w:val="20"/>
          </w:rPr>
          <w:instrText xml:space="preserve"> PAGE   \* MERGEFORMAT </w:instrText>
        </w:r>
        <w:r w:rsidRPr="006B530E">
          <w:rPr>
            <w:rFonts w:ascii="Arial" w:hAnsi="Arial" w:cs="Arial"/>
            <w:sz w:val="20"/>
            <w:szCs w:val="20"/>
          </w:rPr>
          <w:fldChar w:fldCharType="separate"/>
        </w:r>
        <w:r w:rsidRPr="006B530E">
          <w:rPr>
            <w:rFonts w:ascii="Arial" w:hAnsi="Arial" w:cs="Arial"/>
            <w:noProof/>
            <w:sz w:val="20"/>
            <w:szCs w:val="20"/>
          </w:rPr>
          <w:t>2</w:t>
        </w:r>
        <w:r w:rsidRPr="006B530E">
          <w:rPr>
            <w:rFonts w:ascii="Arial" w:hAnsi="Arial" w:cs="Arial"/>
            <w:noProof/>
            <w:sz w:val="20"/>
            <w:szCs w:val="20"/>
          </w:rPr>
          <w:fldChar w:fldCharType="end"/>
        </w:r>
      </w:p>
    </w:sdtContent>
  </w:sdt>
  <w:p w14:paraId="4B8B4D1F" w14:textId="77777777" w:rsidR="00B208C1" w:rsidRDefault="00B208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8DCE2" w14:textId="77777777" w:rsidR="00B208C1" w:rsidRDefault="00B208C1" w:rsidP="00455A42">
      <w:pPr>
        <w:spacing w:after="0" w:line="240" w:lineRule="auto"/>
      </w:pPr>
      <w:r>
        <w:separator/>
      </w:r>
    </w:p>
  </w:footnote>
  <w:footnote w:type="continuationSeparator" w:id="0">
    <w:p w14:paraId="1C1C285A" w14:textId="77777777" w:rsidR="00B208C1" w:rsidRDefault="00B208C1" w:rsidP="00455A42">
      <w:pPr>
        <w:spacing w:after="0" w:line="240" w:lineRule="auto"/>
      </w:pPr>
      <w:r>
        <w:continuationSeparator/>
      </w:r>
    </w:p>
  </w:footnote>
  <w:footnote w:type="continuationNotice" w:id="1">
    <w:p w14:paraId="0B5A1626" w14:textId="77777777" w:rsidR="00B208C1" w:rsidRDefault="00B208C1">
      <w:pPr>
        <w:spacing w:after="0" w:line="240" w:lineRule="auto"/>
      </w:pPr>
    </w:p>
  </w:footnote>
  <w:footnote w:id="2">
    <w:p w14:paraId="4691A444" w14:textId="0E87F685" w:rsidR="00B208C1" w:rsidRPr="00E973A4" w:rsidRDefault="00B208C1" w:rsidP="0061006A">
      <w:pPr>
        <w:tabs>
          <w:tab w:val="left" w:pos="255"/>
        </w:tabs>
        <w:spacing w:after="60" w:line="240" w:lineRule="auto"/>
        <w:ind w:left="255" w:hanging="255"/>
        <w:jc w:val="both"/>
        <w:rPr>
          <w:rFonts w:ascii="Arial" w:eastAsia="Times New Roman" w:hAnsi="Arial" w:cs="Arial"/>
          <w:sz w:val="16"/>
          <w:szCs w:val="16"/>
        </w:rPr>
      </w:pPr>
      <w:r w:rsidRPr="00F12C57">
        <w:rPr>
          <w:rStyle w:val="FootnoteReference"/>
          <w:rFonts w:ascii="Arial" w:hAnsi="Arial" w:cs="Arial"/>
          <w:sz w:val="18"/>
          <w:szCs w:val="18"/>
        </w:rPr>
        <w:footnoteRef/>
      </w:r>
      <w:r w:rsidRPr="00E973A4">
        <w:rPr>
          <w:rFonts w:ascii="Arial" w:hAnsi="Arial" w:cs="Arial"/>
          <w:sz w:val="16"/>
          <w:szCs w:val="16"/>
        </w:rPr>
        <w:t xml:space="preserve"> </w:t>
      </w:r>
      <w:r w:rsidRPr="00E973A4">
        <w:rPr>
          <w:rFonts w:ascii="Arial" w:hAnsi="Arial" w:cs="Arial"/>
          <w:sz w:val="16"/>
          <w:szCs w:val="16"/>
        </w:rPr>
        <w:tab/>
      </w:r>
      <w:r w:rsidRPr="00E973A4">
        <w:rPr>
          <w:rFonts w:ascii="Arial" w:eastAsia="Times New Roman" w:hAnsi="Arial" w:cs="Arial"/>
          <w:sz w:val="16"/>
          <w:szCs w:val="16"/>
        </w:rPr>
        <w:t>Webster A, Anderson R, Barr M</w:t>
      </w:r>
      <w:r>
        <w:rPr>
          <w:rFonts w:ascii="Arial" w:eastAsia="Times New Roman" w:hAnsi="Arial" w:cs="Arial"/>
          <w:sz w:val="16"/>
          <w:szCs w:val="16"/>
        </w:rPr>
        <w:t xml:space="preserve"> </w:t>
      </w:r>
      <w:r w:rsidRPr="00E973A4">
        <w:rPr>
          <w:rFonts w:ascii="Arial" w:eastAsia="Times New Roman" w:hAnsi="Arial" w:cs="Arial"/>
          <w:sz w:val="16"/>
          <w:szCs w:val="16"/>
        </w:rPr>
        <w:t>(2017) Growing up unequal: how sex and gender impact young women's health and wellbeing. Women's Health Victoria. Melbourne. – (</w:t>
      </w:r>
      <w:r w:rsidRPr="00E973A4">
        <w:rPr>
          <w:rFonts w:ascii="Arial" w:eastAsia="Times New Roman" w:hAnsi="Arial" w:cs="Arial"/>
          <w:i/>
          <w:iCs/>
          <w:sz w:val="16"/>
          <w:szCs w:val="16"/>
        </w:rPr>
        <w:t>Women's Health Issues Paper</w:t>
      </w:r>
      <w:r w:rsidRPr="00E973A4">
        <w:rPr>
          <w:rFonts w:ascii="Arial" w:eastAsia="Times New Roman" w:hAnsi="Arial" w:cs="Arial"/>
          <w:sz w:val="16"/>
          <w:szCs w:val="16"/>
        </w:rPr>
        <w:t xml:space="preserve">; 12). Available from: </w:t>
      </w:r>
      <w:hyperlink r:id="rId1" w:history="1">
        <w:r w:rsidRPr="00E973A4">
          <w:rPr>
            <w:rFonts w:ascii="Arial" w:eastAsia="Times New Roman" w:hAnsi="Arial" w:cs="Arial"/>
            <w:color w:val="0563C1" w:themeColor="hyperlink"/>
            <w:sz w:val="16"/>
            <w:szCs w:val="16"/>
            <w:u w:val="single"/>
          </w:rPr>
          <w:t>URL</w:t>
        </w:r>
      </w:hyperlink>
    </w:p>
  </w:footnote>
  <w:footnote w:id="3">
    <w:p w14:paraId="2B93554A" w14:textId="632C6231" w:rsidR="00B208C1" w:rsidRPr="00E973A4" w:rsidRDefault="00B208C1" w:rsidP="001E1BCB">
      <w:pPr>
        <w:pStyle w:val="FootnoteText"/>
        <w:tabs>
          <w:tab w:val="left" w:pos="0"/>
          <w:tab w:val="left" w:pos="255"/>
        </w:tabs>
        <w:spacing w:after="40"/>
        <w:ind w:left="255" w:hanging="255"/>
        <w:rPr>
          <w:rFonts w:cs="Arial"/>
          <w:sz w:val="16"/>
          <w:szCs w:val="16"/>
          <w:lang w:val="en-US"/>
        </w:rPr>
      </w:pPr>
      <w:r w:rsidRPr="00F12C57">
        <w:rPr>
          <w:rStyle w:val="FootnoteReference"/>
          <w:rFonts w:cs="Arial"/>
          <w:sz w:val="18"/>
          <w:szCs w:val="18"/>
        </w:rPr>
        <w:footnoteRef/>
      </w:r>
      <w:r w:rsidRPr="00F12C57">
        <w:rPr>
          <w:rFonts w:cs="Arial"/>
          <w:sz w:val="18"/>
          <w:szCs w:val="18"/>
        </w:rPr>
        <w:t xml:space="preserve"> </w:t>
      </w:r>
      <w:r w:rsidRPr="00E973A4">
        <w:rPr>
          <w:rFonts w:cs="Arial"/>
          <w:sz w:val="16"/>
          <w:szCs w:val="16"/>
        </w:rPr>
        <w:tab/>
      </w:r>
      <w:r w:rsidRPr="008F5025">
        <w:rPr>
          <w:rFonts w:cs="Arial"/>
          <w:sz w:val="16"/>
          <w:szCs w:val="16"/>
        </w:rPr>
        <w:fldChar w:fldCharType="begin"/>
      </w:r>
      <w:r w:rsidRPr="008F5025">
        <w:rPr>
          <w:rFonts w:cs="Arial"/>
          <w:sz w:val="16"/>
          <w:szCs w:val="16"/>
        </w:rPr>
        <w:instrText xml:space="preserve"> ADDIN EN.CITE &lt;EndNote&gt;&lt;Cite&gt;&lt;Author&gt;White&lt;/Author&gt;&lt;Year&gt;2016&lt;/Year&gt;&lt;RecNum&gt;742&lt;/RecNum&gt;&lt;DisplayText&gt;White and Williams (2016) Australian secondary school students’ use of tobacco, alcohol, and over-the-counter and illicit substances in 2014&lt;/DisplayText&gt;&lt;record&gt;&lt;rec-number&gt;742&lt;/rec-number&gt;&lt;foreign-keys&gt;&lt;key app="EN" db-id="ssa09sw2ttazvjex2225xtt350ewfx2vadfs"&gt;742&lt;/key&gt;&lt;/foreign-keys&gt;&lt;ref-type name="Book"&gt;6&lt;/ref-type&gt;&lt;contributors&gt;&lt;authors&gt;&lt;author&gt;White, Victoria&lt;/author&gt;&lt;author&gt;Williams, Tahlia&lt;/author&gt;&lt;/authors&gt;&lt;/contributors&gt;&lt;titles&gt;&lt;title&gt;Australian secondary school students’ use of tobacco, alcohol, and over-the-counter and illicit substances in 2014&lt;/title&gt;&lt;/titles&gt;&lt;dates&gt;&lt;year&gt;2016&lt;/year&gt;&lt;/dates&gt;&lt;pub-location&gt;Melbourne&lt;/pub-location&gt;&lt;publisher&gt;Cancer Council Victoria. Centre for Behavioural Research in Cancer&lt;/publisher&gt;&lt;urls&gt;&lt;related-urls&gt;&lt;url&gt;http://www.nationaldrugstrategy.gov.au/internet/drugstrategy/Publishing.nsf/content/australian-secondary-students-alcohol-drug-survey&lt;/url&gt;&lt;/related-urls&gt;&lt;/urls&gt;&lt;/record&gt;&lt;/Cite&gt;&lt;/EndNote&gt;</w:instrText>
      </w:r>
      <w:r w:rsidRPr="008F5025">
        <w:rPr>
          <w:rFonts w:cs="Arial"/>
          <w:sz w:val="16"/>
          <w:szCs w:val="16"/>
        </w:rPr>
        <w:fldChar w:fldCharType="separate"/>
      </w:r>
      <w:r w:rsidRPr="008F5025">
        <w:rPr>
          <w:rFonts w:cs="Arial"/>
          <w:noProof/>
          <w:sz w:val="16"/>
          <w:szCs w:val="16"/>
        </w:rPr>
        <w:t>White</w:t>
      </w:r>
      <w:r>
        <w:rPr>
          <w:rFonts w:cs="Arial"/>
          <w:noProof/>
          <w:sz w:val="16"/>
          <w:szCs w:val="16"/>
        </w:rPr>
        <w:t xml:space="preserve"> V, </w:t>
      </w:r>
      <w:r w:rsidRPr="008F5025">
        <w:rPr>
          <w:rFonts w:cs="Arial"/>
          <w:noProof/>
          <w:sz w:val="16"/>
          <w:szCs w:val="16"/>
        </w:rPr>
        <w:t>Williams</w:t>
      </w:r>
      <w:r>
        <w:rPr>
          <w:rFonts w:cs="Arial"/>
          <w:noProof/>
          <w:sz w:val="16"/>
          <w:szCs w:val="16"/>
        </w:rPr>
        <w:t xml:space="preserve"> T</w:t>
      </w:r>
      <w:r w:rsidRPr="008F5025">
        <w:rPr>
          <w:rFonts w:cs="Arial"/>
          <w:noProof/>
          <w:sz w:val="16"/>
          <w:szCs w:val="16"/>
        </w:rPr>
        <w:t xml:space="preserve"> (2016) Australian secondary school students’ use of tobacco, alcohol, and over-the-counter and illicit substances in 2014</w:t>
      </w:r>
      <w:r w:rsidRPr="008F5025">
        <w:rPr>
          <w:rFonts w:cs="Arial"/>
          <w:sz w:val="16"/>
          <w:szCs w:val="16"/>
        </w:rPr>
        <w:fldChar w:fldCharType="end"/>
      </w:r>
      <w:r w:rsidRPr="008F5025">
        <w:rPr>
          <w:rFonts w:cs="Arial"/>
          <w:sz w:val="16"/>
          <w:szCs w:val="16"/>
        </w:rPr>
        <w:t>.</w:t>
      </w:r>
      <w:r>
        <w:rPr>
          <w:rFonts w:cs="Arial"/>
          <w:sz w:val="16"/>
          <w:szCs w:val="16"/>
        </w:rPr>
        <w:t xml:space="preserve"> Cancer Council Victoria. Melbourne</w:t>
      </w:r>
      <w:r w:rsidRPr="0028588E">
        <w:rPr>
          <w:rFonts w:cs="Arial"/>
          <w:sz w:val="16"/>
          <w:szCs w:val="16"/>
        </w:rPr>
        <w:t xml:space="preserve">. Available from: </w:t>
      </w:r>
      <w:hyperlink r:id="rId2" w:history="1">
        <w:r w:rsidRPr="0028588E">
          <w:rPr>
            <w:rStyle w:val="Hyperlink"/>
            <w:rFonts w:cs="Arial"/>
            <w:sz w:val="16"/>
            <w:szCs w:val="16"/>
          </w:rPr>
          <w:t>URL</w:t>
        </w:r>
      </w:hyperlink>
      <w:r>
        <w:rPr>
          <w:rStyle w:val="Hyperlink"/>
          <w:rFonts w:cs="Arial"/>
          <w:sz w:val="16"/>
          <w:szCs w:val="16"/>
        </w:rPr>
        <w:t xml:space="preserve"> </w:t>
      </w:r>
    </w:p>
  </w:footnote>
  <w:footnote w:id="4">
    <w:p w14:paraId="6DCC34A3" w14:textId="5F9BA1CF" w:rsidR="00B208C1" w:rsidRPr="00E973A4" w:rsidRDefault="00B208C1" w:rsidP="001E1BCB">
      <w:pPr>
        <w:pStyle w:val="FootnoteText"/>
        <w:tabs>
          <w:tab w:val="left" w:pos="255"/>
        </w:tabs>
        <w:spacing w:after="40"/>
        <w:ind w:left="255" w:hanging="255"/>
        <w:rPr>
          <w:rFonts w:cs="Arial"/>
          <w:sz w:val="16"/>
          <w:szCs w:val="16"/>
        </w:rPr>
      </w:pPr>
      <w:r w:rsidRPr="00F12C57">
        <w:rPr>
          <w:rStyle w:val="FootnoteReference"/>
          <w:rFonts w:cs="Arial"/>
          <w:sz w:val="18"/>
          <w:szCs w:val="18"/>
        </w:rPr>
        <w:footnoteRef/>
      </w:r>
      <w:r w:rsidRPr="00E973A4">
        <w:rPr>
          <w:rFonts w:cs="Arial"/>
          <w:sz w:val="16"/>
          <w:szCs w:val="16"/>
        </w:rPr>
        <w:t xml:space="preserve"> </w:t>
      </w:r>
      <w:r w:rsidRPr="00E973A4">
        <w:rPr>
          <w:rFonts w:cs="Arial"/>
          <w:sz w:val="16"/>
          <w:szCs w:val="16"/>
        </w:rPr>
        <w:tab/>
      </w:r>
      <w:r w:rsidRPr="0028588E">
        <w:rPr>
          <w:rFonts w:cs="Arial"/>
          <w:sz w:val="16"/>
          <w:szCs w:val="16"/>
        </w:rPr>
        <w:t xml:space="preserve">VicHeath (2020) </w:t>
      </w:r>
      <w:r w:rsidRPr="008F5025">
        <w:rPr>
          <w:rFonts w:cs="Arial"/>
          <w:sz w:val="16"/>
          <w:szCs w:val="16"/>
        </w:rPr>
        <w:t>Sport participation in Victoria, 2018</w:t>
      </w:r>
      <w:r>
        <w:rPr>
          <w:rFonts w:cs="Arial"/>
          <w:sz w:val="16"/>
          <w:szCs w:val="16"/>
        </w:rPr>
        <w:t>: r</w:t>
      </w:r>
      <w:r w:rsidRPr="008F5025">
        <w:rPr>
          <w:rFonts w:cs="Arial"/>
          <w:sz w:val="16"/>
          <w:szCs w:val="16"/>
        </w:rPr>
        <w:t>esearch summary</w:t>
      </w:r>
      <w:r>
        <w:rPr>
          <w:rFonts w:cs="Arial"/>
          <w:sz w:val="16"/>
          <w:szCs w:val="16"/>
        </w:rPr>
        <w:t>:</w:t>
      </w:r>
      <w:r w:rsidRPr="008F5025">
        <w:rPr>
          <w:rFonts w:cs="Arial"/>
          <w:sz w:val="16"/>
          <w:szCs w:val="16"/>
        </w:rPr>
        <w:t xml:space="preserve"> </w:t>
      </w:r>
      <w:r>
        <w:rPr>
          <w:rFonts w:cs="Arial"/>
          <w:sz w:val="16"/>
          <w:szCs w:val="16"/>
        </w:rPr>
        <w:t>p</w:t>
      </w:r>
      <w:r w:rsidRPr="008F5025">
        <w:rPr>
          <w:rFonts w:cs="Arial"/>
          <w:sz w:val="16"/>
          <w:szCs w:val="16"/>
        </w:rPr>
        <w:t xml:space="preserve">art 1: </w:t>
      </w:r>
      <w:r>
        <w:rPr>
          <w:rFonts w:cs="Arial"/>
          <w:sz w:val="16"/>
          <w:szCs w:val="16"/>
        </w:rPr>
        <w:t>k</w:t>
      </w:r>
      <w:r w:rsidRPr="008F5025">
        <w:rPr>
          <w:rFonts w:cs="Arial"/>
          <w:sz w:val="16"/>
          <w:szCs w:val="16"/>
        </w:rPr>
        <w:t xml:space="preserve">ey findings </w:t>
      </w:r>
      <w:proofErr w:type="gramStart"/>
      <w:r w:rsidRPr="008F5025">
        <w:rPr>
          <w:rFonts w:cs="Arial"/>
          <w:sz w:val="16"/>
          <w:szCs w:val="16"/>
        </w:rPr>
        <w:t>at a glance</w:t>
      </w:r>
      <w:proofErr w:type="gramEnd"/>
      <w:r w:rsidRPr="0028588E">
        <w:rPr>
          <w:rFonts w:cs="Arial"/>
          <w:sz w:val="16"/>
          <w:szCs w:val="16"/>
        </w:rPr>
        <w:t xml:space="preserve">, </w:t>
      </w:r>
      <w:r>
        <w:rPr>
          <w:rFonts w:cs="Arial"/>
          <w:sz w:val="16"/>
          <w:szCs w:val="16"/>
        </w:rPr>
        <w:t xml:space="preserve">VicHealth, </w:t>
      </w:r>
      <w:r w:rsidRPr="0028588E">
        <w:rPr>
          <w:rFonts w:cs="Arial"/>
          <w:sz w:val="16"/>
          <w:szCs w:val="16"/>
        </w:rPr>
        <w:t>Melbourne</w:t>
      </w:r>
      <w:r>
        <w:rPr>
          <w:rFonts w:cs="Arial"/>
          <w:sz w:val="16"/>
          <w:szCs w:val="16"/>
        </w:rPr>
        <w:t xml:space="preserve">. Available from: </w:t>
      </w:r>
      <w:hyperlink r:id="rId3" w:history="1">
        <w:r w:rsidRPr="008F5025">
          <w:rPr>
            <w:rStyle w:val="Hyperlink"/>
            <w:rFonts w:cs="Arial"/>
            <w:sz w:val="16"/>
            <w:szCs w:val="16"/>
          </w:rPr>
          <w:t>URL</w:t>
        </w:r>
      </w:hyperlink>
    </w:p>
  </w:footnote>
  <w:footnote w:id="5">
    <w:p w14:paraId="5FE3AD28" w14:textId="51CA687F" w:rsidR="00B208C1" w:rsidRPr="00E973A4" w:rsidRDefault="00B208C1" w:rsidP="001E1BCB">
      <w:pPr>
        <w:tabs>
          <w:tab w:val="left" w:pos="255"/>
        </w:tabs>
        <w:spacing w:after="40" w:line="240" w:lineRule="auto"/>
        <w:ind w:left="255" w:hanging="255"/>
        <w:jc w:val="both"/>
        <w:rPr>
          <w:rFonts w:ascii="Arial" w:eastAsia="Times New Roman" w:hAnsi="Arial" w:cs="Arial"/>
          <w:sz w:val="16"/>
          <w:szCs w:val="16"/>
        </w:rPr>
      </w:pPr>
      <w:r w:rsidRPr="00F12C57">
        <w:rPr>
          <w:rStyle w:val="FootnoteReference"/>
          <w:rFonts w:ascii="Arial" w:hAnsi="Arial" w:cs="Arial"/>
          <w:sz w:val="18"/>
          <w:szCs w:val="18"/>
        </w:rPr>
        <w:footnoteRef/>
      </w:r>
      <w:r w:rsidRPr="00F12C57">
        <w:rPr>
          <w:rFonts w:ascii="Arial" w:hAnsi="Arial" w:cs="Arial"/>
          <w:sz w:val="18"/>
          <w:szCs w:val="18"/>
        </w:rPr>
        <w:t xml:space="preserve"> </w:t>
      </w:r>
      <w:r w:rsidRPr="00E973A4">
        <w:rPr>
          <w:rFonts w:ascii="Arial" w:hAnsi="Arial" w:cs="Arial"/>
          <w:sz w:val="16"/>
          <w:szCs w:val="16"/>
        </w:rPr>
        <w:tab/>
      </w:r>
      <w:r w:rsidRPr="00AF734B">
        <w:rPr>
          <w:rFonts w:ascii="Arial" w:eastAsia="Times New Roman" w:hAnsi="Arial" w:cs="Arial"/>
          <w:sz w:val="16"/>
          <w:szCs w:val="16"/>
        </w:rPr>
        <w:t xml:space="preserve">Politoff V, Crabbe M, Honey N, Mannix S, Mickle J, Morgan J, </w:t>
      </w:r>
      <w:r>
        <w:rPr>
          <w:rFonts w:ascii="Arial" w:eastAsia="Times New Roman" w:hAnsi="Arial" w:cs="Arial"/>
          <w:sz w:val="16"/>
          <w:szCs w:val="16"/>
        </w:rPr>
        <w:t xml:space="preserve">et al. (2019) </w:t>
      </w:r>
      <w:r w:rsidRPr="00CC6377">
        <w:rPr>
          <w:rFonts w:ascii="Arial" w:eastAsia="Times New Roman" w:hAnsi="Arial" w:cs="Arial"/>
          <w:sz w:val="16"/>
          <w:szCs w:val="16"/>
        </w:rPr>
        <w:t xml:space="preserve">Young Australians’ attitudes to violence against women and gender equality: </w:t>
      </w:r>
      <w:r>
        <w:rPr>
          <w:rFonts w:ascii="Arial" w:eastAsia="Times New Roman" w:hAnsi="Arial" w:cs="Arial"/>
          <w:sz w:val="16"/>
          <w:szCs w:val="16"/>
        </w:rPr>
        <w:t>f</w:t>
      </w:r>
      <w:r w:rsidRPr="00CC6377">
        <w:rPr>
          <w:rFonts w:ascii="Arial" w:eastAsia="Times New Roman" w:hAnsi="Arial" w:cs="Arial"/>
          <w:sz w:val="16"/>
          <w:szCs w:val="16"/>
        </w:rPr>
        <w:t>indings from the 2017 National Community Attitudes towards Violence against Women Survey</w:t>
      </w:r>
      <w:r w:rsidRPr="00AF734B">
        <w:rPr>
          <w:rFonts w:ascii="Arial" w:eastAsia="Times New Roman" w:hAnsi="Arial" w:cs="Arial"/>
          <w:sz w:val="16"/>
          <w:szCs w:val="16"/>
        </w:rPr>
        <w:t xml:space="preserve"> (NCAS)</w:t>
      </w:r>
      <w:r>
        <w:rPr>
          <w:rFonts w:ascii="Arial" w:eastAsia="Times New Roman" w:hAnsi="Arial" w:cs="Arial"/>
          <w:sz w:val="16"/>
          <w:szCs w:val="16"/>
        </w:rPr>
        <w:t>.</w:t>
      </w:r>
      <w:r w:rsidRPr="00AF734B">
        <w:rPr>
          <w:rFonts w:ascii="Arial" w:eastAsia="Times New Roman" w:hAnsi="Arial" w:cs="Arial"/>
          <w:sz w:val="16"/>
          <w:szCs w:val="16"/>
        </w:rPr>
        <w:t xml:space="preserve"> </w:t>
      </w:r>
      <w:r>
        <w:rPr>
          <w:rFonts w:ascii="Arial" w:eastAsia="Times New Roman" w:hAnsi="Arial" w:cs="Arial"/>
          <w:sz w:val="16"/>
          <w:szCs w:val="16"/>
        </w:rPr>
        <w:t>ANROWS, Sydney – (</w:t>
      </w:r>
      <w:r w:rsidRPr="00CC6377">
        <w:rPr>
          <w:rFonts w:ascii="Arial" w:eastAsia="Times New Roman" w:hAnsi="Arial" w:cs="Arial"/>
          <w:i/>
          <w:iCs/>
          <w:sz w:val="16"/>
          <w:szCs w:val="16"/>
        </w:rPr>
        <w:t>ANROWS Insights</w:t>
      </w:r>
      <w:r>
        <w:rPr>
          <w:rFonts w:ascii="Arial" w:eastAsia="Times New Roman" w:hAnsi="Arial" w:cs="Arial"/>
          <w:i/>
          <w:iCs/>
          <w:sz w:val="16"/>
          <w:szCs w:val="16"/>
        </w:rPr>
        <w:t>;</w:t>
      </w:r>
      <w:r w:rsidRPr="00AF734B">
        <w:rPr>
          <w:rFonts w:ascii="Arial" w:eastAsia="Times New Roman" w:hAnsi="Arial" w:cs="Arial"/>
          <w:sz w:val="16"/>
          <w:szCs w:val="16"/>
        </w:rPr>
        <w:t xml:space="preserve"> 01/2019</w:t>
      </w:r>
      <w:r>
        <w:rPr>
          <w:rFonts w:ascii="Arial" w:eastAsia="Times New Roman" w:hAnsi="Arial" w:cs="Arial"/>
          <w:sz w:val="16"/>
          <w:szCs w:val="16"/>
        </w:rPr>
        <w:t>)</w:t>
      </w:r>
      <w:r w:rsidRPr="00AF734B">
        <w:rPr>
          <w:rFonts w:ascii="Arial" w:eastAsia="Times New Roman" w:hAnsi="Arial" w:cs="Arial"/>
          <w:sz w:val="16"/>
          <w:szCs w:val="16"/>
        </w:rPr>
        <w:t>. Available</w:t>
      </w:r>
      <w:r>
        <w:rPr>
          <w:rFonts w:ascii="Arial" w:eastAsia="Times New Roman" w:hAnsi="Arial" w:cs="Arial"/>
          <w:sz w:val="16"/>
          <w:szCs w:val="16"/>
        </w:rPr>
        <w:t xml:space="preserve"> from:</w:t>
      </w:r>
      <w:r w:rsidRPr="00AF734B">
        <w:rPr>
          <w:rFonts w:ascii="Arial" w:eastAsia="Times New Roman" w:hAnsi="Arial" w:cs="Arial"/>
          <w:sz w:val="16"/>
          <w:szCs w:val="16"/>
        </w:rPr>
        <w:t xml:space="preserve"> </w:t>
      </w:r>
      <w:hyperlink r:id="rId4" w:history="1">
        <w:r>
          <w:rPr>
            <w:rFonts w:ascii="Arial" w:eastAsia="Times New Roman" w:hAnsi="Arial" w:cs="Arial"/>
            <w:color w:val="0563C1" w:themeColor="hyperlink"/>
            <w:sz w:val="16"/>
            <w:szCs w:val="16"/>
            <w:u w:val="single"/>
          </w:rPr>
          <w:t>URL</w:t>
        </w:r>
      </w:hyperlink>
    </w:p>
  </w:footnote>
  <w:footnote w:id="6">
    <w:p w14:paraId="75C0ED8F" w14:textId="3B524630" w:rsidR="00B208C1" w:rsidRPr="00AF734B" w:rsidRDefault="00B208C1" w:rsidP="001E1BCB">
      <w:pPr>
        <w:tabs>
          <w:tab w:val="left" w:pos="255"/>
        </w:tabs>
        <w:spacing w:after="40" w:line="240" w:lineRule="auto"/>
        <w:ind w:left="255" w:hanging="255"/>
        <w:rPr>
          <w:rFonts w:ascii="Arial" w:eastAsia="Times New Roman" w:hAnsi="Arial" w:cs="Arial"/>
          <w:sz w:val="16"/>
          <w:szCs w:val="16"/>
        </w:rPr>
      </w:pPr>
      <w:r w:rsidRPr="00F12C57">
        <w:rPr>
          <w:rStyle w:val="FootnoteReference"/>
          <w:rFonts w:ascii="Arial" w:hAnsi="Arial" w:cs="Arial"/>
          <w:sz w:val="18"/>
          <w:szCs w:val="18"/>
        </w:rPr>
        <w:footnoteRef/>
      </w:r>
      <w:r w:rsidRPr="00E973A4">
        <w:rPr>
          <w:rFonts w:ascii="Arial" w:hAnsi="Arial" w:cs="Arial"/>
          <w:sz w:val="16"/>
          <w:szCs w:val="16"/>
        </w:rPr>
        <w:t xml:space="preserve"> </w:t>
      </w:r>
      <w:r w:rsidRPr="00E973A4">
        <w:rPr>
          <w:rFonts w:ascii="Arial" w:hAnsi="Arial" w:cs="Arial"/>
          <w:sz w:val="16"/>
          <w:szCs w:val="16"/>
        </w:rPr>
        <w:tab/>
      </w:r>
      <w:r w:rsidRPr="00AF734B">
        <w:rPr>
          <w:rFonts w:ascii="Arial" w:eastAsia="Times New Roman" w:hAnsi="Arial" w:cs="Arial"/>
          <w:sz w:val="16"/>
          <w:szCs w:val="16"/>
        </w:rPr>
        <w:t>Our Watch</w:t>
      </w:r>
      <w:r>
        <w:rPr>
          <w:rFonts w:ascii="Arial" w:eastAsia="Times New Roman" w:hAnsi="Arial" w:cs="Arial"/>
          <w:sz w:val="16"/>
          <w:szCs w:val="16"/>
        </w:rPr>
        <w:t xml:space="preserve"> (2020) </w:t>
      </w:r>
      <w:r w:rsidRPr="00CC6377">
        <w:rPr>
          <w:rFonts w:ascii="Arial" w:eastAsia="Times New Roman" w:hAnsi="Arial" w:cs="Arial"/>
          <w:sz w:val="16"/>
          <w:szCs w:val="16"/>
        </w:rPr>
        <w:t>Tracking progress in prevention: a national monitoring report on progress towards the primary prevention of violence against women and their children in Australia</w:t>
      </w:r>
      <w:r>
        <w:rPr>
          <w:rFonts w:ascii="Arial" w:eastAsia="Times New Roman" w:hAnsi="Arial" w:cs="Arial"/>
          <w:sz w:val="16"/>
          <w:szCs w:val="16"/>
        </w:rPr>
        <w:t>.</w:t>
      </w:r>
      <w:r w:rsidRPr="00AF734B">
        <w:rPr>
          <w:rFonts w:ascii="Arial" w:eastAsia="Times New Roman" w:hAnsi="Arial" w:cs="Arial"/>
          <w:sz w:val="16"/>
          <w:szCs w:val="16"/>
        </w:rPr>
        <w:t xml:space="preserve"> Our Watch, Melbourne. Available</w:t>
      </w:r>
      <w:r>
        <w:rPr>
          <w:rFonts w:ascii="Arial" w:eastAsia="Times New Roman" w:hAnsi="Arial" w:cs="Arial"/>
          <w:sz w:val="16"/>
          <w:szCs w:val="16"/>
        </w:rPr>
        <w:t xml:space="preserve"> from:</w:t>
      </w:r>
      <w:r w:rsidRPr="00AF734B">
        <w:rPr>
          <w:rFonts w:ascii="Arial" w:eastAsia="Times New Roman" w:hAnsi="Arial" w:cs="Arial"/>
          <w:sz w:val="16"/>
          <w:szCs w:val="16"/>
        </w:rPr>
        <w:t xml:space="preserve"> </w:t>
      </w:r>
      <w:hyperlink r:id="rId5" w:history="1">
        <w:r>
          <w:rPr>
            <w:rFonts w:ascii="Arial" w:eastAsia="Times New Roman" w:hAnsi="Arial" w:cs="Arial"/>
            <w:color w:val="0563C1" w:themeColor="hyperlink"/>
            <w:sz w:val="16"/>
            <w:szCs w:val="16"/>
            <w:u w:val="single"/>
          </w:rPr>
          <w:t>URL</w:t>
        </w:r>
      </w:hyperlink>
    </w:p>
  </w:footnote>
  <w:footnote w:id="7">
    <w:p w14:paraId="46720882" w14:textId="6210F349" w:rsidR="00B208C1" w:rsidRDefault="00B208C1" w:rsidP="009050F6">
      <w:pPr>
        <w:pStyle w:val="FootnoteText"/>
        <w:tabs>
          <w:tab w:val="left" w:pos="255"/>
        </w:tabs>
        <w:spacing w:after="40"/>
        <w:ind w:left="255" w:hanging="255"/>
        <w:jc w:val="both"/>
      </w:pPr>
      <w:r w:rsidRPr="00F12C57">
        <w:rPr>
          <w:rStyle w:val="FootnoteReference"/>
          <w:sz w:val="18"/>
          <w:szCs w:val="18"/>
        </w:rPr>
        <w:footnoteRef/>
      </w:r>
      <w:r>
        <w:t xml:space="preserve"> </w:t>
      </w:r>
      <w:r>
        <w:tab/>
      </w:r>
      <w:r w:rsidRPr="00805E5F">
        <w:rPr>
          <w:sz w:val="16"/>
          <w:szCs w:val="16"/>
        </w:rPr>
        <w:t xml:space="preserve">Varley C, Rich S (2019) </w:t>
      </w:r>
      <w:r w:rsidRPr="00A92172">
        <w:rPr>
          <w:sz w:val="16"/>
          <w:szCs w:val="16"/>
        </w:rPr>
        <w:t>Towards gender transformative change: a guide for practitioners.</w:t>
      </w:r>
      <w:r w:rsidRPr="00805E5F">
        <w:rPr>
          <w:sz w:val="16"/>
          <w:szCs w:val="16"/>
        </w:rPr>
        <w:t xml:space="preserve"> Women's Health Victoria</w:t>
      </w:r>
      <w:r>
        <w:rPr>
          <w:sz w:val="16"/>
          <w:szCs w:val="16"/>
        </w:rPr>
        <w:t>,</w:t>
      </w:r>
      <w:r w:rsidRPr="00805E5F">
        <w:rPr>
          <w:sz w:val="16"/>
          <w:szCs w:val="16"/>
        </w:rPr>
        <w:t xml:space="preserve"> Melbourne. </w:t>
      </w:r>
      <w:r>
        <w:rPr>
          <w:sz w:val="16"/>
          <w:szCs w:val="16"/>
        </w:rPr>
        <w:t>–</w:t>
      </w:r>
      <w:r w:rsidRPr="00805E5F">
        <w:rPr>
          <w:sz w:val="16"/>
          <w:szCs w:val="16"/>
        </w:rPr>
        <w:t xml:space="preserve"> </w:t>
      </w:r>
      <w:r>
        <w:rPr>
          <w:sz w:val="16"/>
          <w:szCs w:val="16"/>
        </w:rPr>
        <w:t>(</w:t>
      </w:r>
      <w:r w:rsidRPr="00A92172">
        <w:rPr>
          <w:i/>
          <w:iCs/>
          <w:sz w:val="16"/>
          <w:szCs w:val="16"/>
        </w:rPr>
        <w:t>Women's Health Victoria Knowledge Paper</w:t>
      </w:r>
      <w:r w:rsidRPr="00805E5F">
        <w:rPr>
          <w:sz w:val="16"/>
          <w:szCs w:val="16"/>
        </w:rPr>
        <w:t>; 3</w:t>
      </w:r>
      <w:r>
        <w:rPr>
          <w:sz w:val="16"/>
          <w:szCs w:val="16"/>
        </w:rPr>
        <w:t xml:space="preserve">). Available from: </w:t>
      </w:r>
      <w:hyperlink r:id="rId6" w:history="1">
        <w:r>
          <w:rPr>
            <w:rStyle w:val="Hyperlink"/>
            <w:sz w:val="16"/>
            <w:szCs w:val="16"/>
          </w:rPr>
          <w:t>URL</w:t>
        </w:r>
      </w:hyperlink>
    </w:p>
  </w:footnote>
  <w:footnote w:id="8">
    <w:p w14:paraId="7E109FBA" w14:textId="2598CBB5" w:rsidR="00B208C1" w:rsidRPr="00F12C57" w:rsidRDefault="00B208C1" w:rsidP="001E1BCB">
      <w:pPr>
        <w:pStyle w:val="FootnoteText"/>
        <w:tabs>
          <w:tab w:val="left" w:pos="255"/>
        </w:tabs>
        <w:spacing w:after="40"/>
        <w:ind w:left="255" w:hanging="255"/>
        <w:rPr>
          <w:sz w:val="16"/>
          <w:szCs w:val="16"/>
        </w:rPr>
      </w:pPr>
      <w:r w:rsidRPr="00F12C57">
        <w:rPr>
          <w:rStyle w:val="FootnoteReference"/>
          <w:sz w:val="18"/>
          <w:szCs w:val="18"/>
        </w:rPr>
        <w:footnoteRef/>
      </w:r>
      <w:r w:rsidRPr="00F12C57">
        <w:rPr>
          <w:sz w:val="16"/>
          <w:szCs w:val="16"/>
        </w:rPr>
        <w:t xml:space="preserve"> </w:t>
      </w:r>
      <w:r>
        <w:rPr>
          <w:sz w:val="16"/>
          <w:szCs w:val="16"/>
        </w:rPr>
        <w:tab/>
      </w:r>
      <w:r w:rsidRPr="00ED4A85">
        <w:rPr>
          <w:sz w:val="16"/>
          <w:szCs w:val="16"/>
        </w:rPr>
        <w:t>World Health Organi</w:t>
      </w:r>
      <w:r>
        <w:rPr>
          <w:sz w:val="16"/>
          <w:szCs w:val="16"/>
        </w:rPr>
        <w:t>z</w:t>
      </w:r>
      <w:r w:rsidRPr="00ED4A85">
        <w:rPr>
          <w:sz w:val="16"/>
          <w:szCs w:val="16"/>
        </w:rPr>
        <w:t>ation</w:t>
      </w:r>
      <w:r>
        <w:rPr>
          <w:sz w:val="16"/>
          <w:szCs w:val="16"/>
        </w:rPr>
        <w:t xml:space="preserve"> (2020) Social determinants of health. WHO, Geneva. Available from: </w:t>
      </w:r>
      <w:hyperlink r:id="rId7" w:anchor="tab=tab_1" w:history="1">
        <w:r>
          <w:rPr>
            <w:rStyle w:val="Hyperlink"/>
            <w:sz w:val="16"/>
            <w:szCs w:val="16"/>
          </w:rPr>
          <w:t>URL</w:t>
        </w:r>
      </w:hyperlink>
    </w:p>
  </w:footnote>
  <w:footnote w:id="9">
    <w:p w14:paraId="05300738" w14:textId="732C656E" w:rsidR="00B208C1" w:rsidRPr="00F12C57" w:rsidRDefault="00B208C1" w:rsidP="001E1BCB">
      <w:pPr>
        <w:pStyle w:val="FootnoteText"/>
        <w:tabs>
          <w:tab w:val="left" w:pos="255"/>
        </w:tabs>
        <w:spacing w:after="40"/>
        <w:ind w:left="255" w:hanging="255"/>
        <w:rPr>
          <w:sz w:val="16"/>
          <w:szCs w:val="16"/>
        </w:rPr>
      </w:pPr>
      <w:r w:rsidRPr="00F12C57">
        <w:rPr>
          <w:rStyle w:val="FootnoteReference"/>
          <w:sz w:val="18"/>
          <w:szCs w:val="18"/>
        </w:rPr>
        <w:footnoteRef/>
      </w:r>
      <w:r w:rsidRPr="00F12C57">
        <w:rPr>
          <w:sz w:val="16"/>
          <w:szCs w:val="16"/>
        </w:rPr>
        <w:t xml:space="preserve"> </w:t>
      </w:r>
      <w:r>
        <w:rPr>
          <w:sz w:val="16"/>
          <w:szCs w:val="16"/>
        </w:rPr>
        <w:tab/>
      </w:r>
      <w:r w:rsidRPr="00ED4A85">
        <w:rPr>
          <w:rFonts w:cs="Arial"/>
          <w:color w:val="000000" w:themeColor="text1"/>
          <w:sz w:val="16"/>
          <w:szCs w:val="16"/>
        </w:rPr>
        <w:fldChar w:fldCharType="begin"/>
      </w:r>
      <w:r w:rsidRPr="00ED4A85">
        <w:rPr>
          <w:rFonts w:cs="Arial"/>
          <w:color w:val="000000" w:themeColor="text1"/>
          <w:sz w:val="16"/>
          <w:szCs w:val="16"/>
        </w:rPr>
        <w:instrText xml:space="preserve"> ADDIN EN.CITE &lt;EndNote&gt;&lt;Cite&gt;&lt;Author&gt;Greaves&lt;/Author&gt;&lt;Year&gt;2014&lt;/Year&gt;&lt;RecNum&gt;90&lt;/RecNum&gt;&lt;DisplayText&gt;Greaves, Pederson and Poole (2014) Making it better : gender-transformative health promotion&lt;/DisplayText&gt;&lt;record&gt;&lt;rec-number&gt;90&lt;/rec-number&gt;&lt;foreign-keys&gt;&lt;key app="EN" db-id="drrw0f9psetdz2efrtjvpdr69ra05avdw9df"&gt;90&lt;/key&gt;&lt;/foreign-keys&gt;&lt;ref-type name="Book"&gt;6&lt;/ref-type&gt;&lt;contributors&gt;&lt;authors&gt;&lt;author&gt;Greaves, Lorraine&lt;/author&gt;&lt;author&gt;Pederson, Ann&lt;/author&gt;&lt;author&gt;Poole, Nancy&lt;/author&gt;&lt;/authors&gt;&lt;/contributors&gt;&lt;titles&gt;&lt;title&gt;Making it better : gender-transformative health promotion&lt;/title&gt;&lt;/titles&gt;&lt;dates&gt;&lt;year&gt;2014&lt;/year&gt;&lt;/dates&gt;&lt;pub-location&gt;Toronto&lt;/pub-location&gt;&lt;publisher&gt;Canadian Scholars&amp;apos; Press / Women&amp;apos;s Press&lt;/publisher&gt;&lt;urls&gt;&lt;/urls&gt;&lt;/record&gt;&lt;/Cite&gt;&lt;/EndNote&gt;</w:instrText>
      </w:r>
      <w:r w:rsidRPr="00ED4A85">
        <w:rPr>
          <w:rFonts w:cs="Arial"/>
          <w:color w:val="000000" w:themeColor="text1"/>
          <w:sz w:val="16"/>
          <w:szCs w:val="16"/>
        </w:rPr>
        <w:fldChar w:fldCharType="separate"/>
      </w:r>
      <w:r w:rsidRPr="00ED4A85">
        <w:rPr>
          <w:rFonts w:cs="Arial"/>
          <w:noProof/>
          <w:color w:val="000000" w:themeColor="text1"/>
          <w:sz w:val="16"/>
          <w:szCs w:val="16"/>
        </w:rPr>
        <w:t>Greaves</w:t>
      </w:r>
      <w:r>
        <w:rPr>
          <w:rFonts w:cs="Arial"/>
          <w:noProof/>
          <w:color w:val="000000" w:themeColor="text1"/>
          <w:sz w:val="16"/>
          <w:szCs w:val="16"/>
        </w:rPr>
        <w:t xml:space="preserve"> L</w:t>
      </w:r>
      <w:r w:rsidRPr="00ED4A85">
        <w:rPr>
          <w:rFonts w:cs="Arial"/>
          <w:noProof/>
          <w:color w:val="000000" w:themeColor="text1"/>
          <w:sz w:val="16"/>
          <w:szCs w:val="16"/>
        </w:rPr>
        <w:t>, Pederson</w:t>
      </w:r>
      <w:r>
        <w:rPr>
          <w:rFonts w:cs="Arial"/>
          <w:noProof/>
          <w:color w:val="000000" w:themeColor="text1"/>
          <w:sz w:val="16"/>
          <w:szCs w:val="16"/>
        </w:rPr>
        <w:t xml:space="preserve"> A, </w:t>
      </w:r>
      <w:r w:rsidRPr="00ED4A85">
        <w:rPr>
          <w:rFonts w:cs="Arial"/>
          <w:noProof/>
          <w:color w:val="000000" w:themeColor="text1"/>
          <w:sz w:val="16"/>
          <w:szCs w:val="16"/>
        </w:rPr>
        <w:t>Poole</w:t>
      </w:r>
      <w:r>
        <w:rPr>
          <w:rFonts w:cs="Arial"/>
          <w:noProof/>
          <w:color w:val="000000" w:themeColor="text1"/>
          <w:sz w:val="16"/>
          <w:szCs w:val="16"/>
        </w:rPr>
        <w:t xml:space="preserve"> N (eds.)</w:t>
      </w:r>
      <w:r w:rsidRPr="00ED4A85">
        <w:rPr>
          <w:rFonts w:cs="Arial"/>
          <w:noProof/>
          <w:color w:val="000000" w:themeColor="text1"/>
          <w:sz w:val="16"/>
          <w:szCs w:val="16"/>
        </w:rPr>
        <w:t xml:space="preserve"> (2014) Making it better: </w:t>
      </w:r>
      <w:r>
        <w:rPr>
          <w:rFonts w:cs="Arial"/>
          <w:noProof/>
          <w:color w:val="000000" w:themeColor="text1"/>
          <w:sz w:val="16"/>
          <w:szCs w:val="16"/>
        </w:rPr>
        <w:t>g</w:t>
      </w:r>
      <w:r w:rsidRPr="00ED4A85">
        <w:rPr>
          <w:rFonts w:cs="Arial"/>
          <w:noProof/>
          <w:color w:val="000000" w:themeColor="text1"/>
          <w:sz w:val="16"/>
          <w:szCs w:val="16"/>
        </w:rPr>
        <w:t>ender-transformative health promotion</w:t>
      </w:r>
      <w:r w:rsidRPr="00ED4A85">
        <w:rPr>
          <w:rFonts w:cs="Arial"/>
          <w:color w:val="000000" w:themeColor="text1"/>
          <w:sz w:val="16"/>
          <w:szCs w:val="16"/>
        </w:rPr>
        <w:fldChar w:fldCharType="end"/>
      </w:r>
      <w:r>
        <w:rPr>
          <w:rFonts w:cs="Arial"/>
          <w:color w:val="000000" w:themeColor="text1"/>
          <w:sz w:val="16"/>
          <w:szCs w:val="16"/>
        </w:rPr>
        <w:t>. Canadian Scholars Press, Toronto</w:t>
      </w:r>
      <w:r w:rsidRPr="00ED4A85">
        <w:rPr>
          <w:rFonts w:cs="Arial"/>
          <w:color w:val="000000" w:themeColor="text1"/>
          <w:sz w:val="16"/>
          <w:szCs w:val="16"/>
        </w:rPr>
        <w:t>, p. 2.</w:t>
      </w:r>
    </w:p>
  </w:footnote>
  <w:footnote w:id="10">
    <w:p w14:paraId="5DB4A900" w14:textId="7A9DC30B" w:rsidR="00B208C1" w:rsidRPr="00F17AD5" w:rsidRDefault="00B208C1" w:rsidP="001E1BCB">
      <w:pPr>
        <w:pStyle w:val="FootnoteText"/>
        <w:tabs>
          <w:tab w:val="left" w:pos="255"/>
        </w:tabs>
        <w:spacing w:after="40"/>
        <w:ind w:left="255" w:hanging="255"/>
        <w:jc w:val="both"/>
        <w:rPr>
          <w:rFonts w:cs="Arial"/>
          <w:sz w:val="16"/>
          <w:szCs w:val="16"/>
          <w:lang w:val="en-US"/>
        </w:rPr>
      </w:pPr>
      <w:r w:rsidRPr="007F7006">
        <w:rPr>
          <w:rStyle w:val="FootnoteReference"/>
          <w:rFonts w:cs="Arial"/>
          <w:sz w:val="18"/>
          <w:szCs w:val="18"/>
        </w:rPr>
        <w:footnoteRef/>
      </w:r>
      <w:r w:rsidRPr="007F7006">
        <w:rPr>
          <w:rFonts w:cs="Arial"/>
          <w:sz w:val="18"/>
          <w:szCs w:val="18"/>
        </w:rPr>
        <w:t xml:space="preserve"> </w:t>
      </w:r>
      <w:r w:rsidRPr="00F17AD5">
        <w:rPr>
          <w:rFonts w:cs="Arial"/>
          <w:sz w:val="16"/>
          <w:szCs w:val="16"/>
        </w:rPr>
        <w:tab/>
      </w:r>
      <w:r w:rsidRPr="00F17AD5">
        <w:rPr>
          <w:rFonts w:cs="Arial"/>
          <w:sz w:val="16"/>
          <w:szCs w:val="16"/>
        </w:rPr>
        <w:fldChar w:fldCharType="begin"/>
      </w:r>
      <w:r w:rsidRPr="00F17AD5">
        <w:rPr>
          <w:rFonts w:cs="Arial"/>
          <w:sz w:val="16"/>
          <w:szCs w:val="16"/>
        </w:rPr>
        <w:instrText xml:space="preserve"> ADDIN EN.CITE &lt;EndNote&gt;&lt;Cite&gt;&lt;Author&gt;Hankin&lt;/Author&gt;&lt;Year&gt;2015&lt;/Year&gt;&lt;RecNum&gt;533&lt;/RecNum&gt;&lt;DisplayText&gt;Hankin, Young, Abela, Smolen, Jenness, Gulley, et al. (2015) Depression from childhood into late adolescence : influence of gender, development, genetic susceptibility, and peer stress. &lt;style face="italic"&gt;Journal of Abnormal Psychology&lt;/style&gt;. 124 (4):803-16&lt;/DisplayText&gt;&lt;record&gt;&lt;rec-number&gt;533&lt;/rec-number&gt;&lt;foreign-keys&gt;&lt;key app="EN" db-id="ssa09sw2ttazvjex2225xtt350ewfx2vadfs"&gt;533&lt;/key&gt;&lt;/foreign-keys&gt;&lt;ref-type name="Journal Article"&gt;17&lt;/ref-type&gt;&lt;contributors&gt;&lt;authors&gt;&lt;author&gt;Hankin, Benjamin L.&lt;/author&gt;&lt;author&gt;Young, Jami F.&lt;/author&gt;&lt;author&gt;Abela, John R.&lt;/author&gt;&lt;author&gt;Smolen, Andrew&lt;/author&gt;&lt;author&gt;Jenness, Jessica L.&lt;/author&gt;&lt;author&gt;Gulley, Lauren D.&lt;/author&gt;&lt;author&gt;Technow, Jessica R.&lt;/author&gt;&lt;author&gt;Gottlieb, Andrea Barrocas&lt;/author&gt;&lt;author&gt;Cohen, Joseph R.&lt;/author&gt;&lt;author&gt;Oppenheimer, Caroline W.&lt;/author&gt;&lt;/authors&gt;&lt;/contributors&gt;&lt;auth-address&gt;Z&lt;/auth-address&gt;&lt;titles&gt;&lt;title&gt;Depression from childhood into late adolescence : influence of gender, development, genetic susceptibility, and peer stress&lt;/title&gt;&lt;secondary-title&gt;Journal of Abnormal Psychology&lt;/secondary-title&gt;&lt;/titles&gt;&lt;periodical&gt;&lt;full-title&gt;Journal of Abnormal Psychology&lt;/full-title&gt;&lt;/periodical&gt;&lt;pages&gt;803-816&lt;/pages&gt;&lt;volume&gt;124&lt;/volume&gt;&lt;number&gt;4&lt;/number&gt;&lt;dates&gt;&lt;year&gt;2015&lt;/year&gt;&lt;/dates&gt;&lt;urls&gt;&lt;related-urls&gt;&lt;url&gt;https://www.ncbi.nlm.nih.gov/pmc/articles/PMC4662048/&lt;/url&gt;&lt;/related-urls&gt;&lt;/urls&gt;&lt;remote-database-name&gt;PsycINFO&lt;/remote-database-name&gt;&lt;remote-database-provider&gt;Ovid Technologies&lt;/remote-database-provider&gt;&lt;/record&gt;&lt;/Cite&gt;&lt;/EndNote&gt;</w:instrText>
      </w:r>
      <w:r w:rsidRPr="00F17AD5">
        <w:rPr>
          <w:rFonts w:cs="Arial"/>
          <w:sz w:val="16"/>
          <w:szCs w:val="16"/>
        </w:rPr>
        <w:fldChar w:fldCharType="separate"/>
      </w:r>
      <w:r w:rsidRPr="00F17AD5">
        <w:rPr>
          <w:rFonts w:cs="Arial"/>
          <w:noProof/>
          <w:sz w:val="16"/>
          <w:szCs w:val="16"/>
        </w:rPr>
        <w:t>Hankin</w:t>
      </w:r>
      <w:r>
        <w:rPr>
          <w:rFonts w:cs="Arial"/>
          <w:noProof/>
          <w:sz w:val="16"/>
          <w:szCs w:val="16"/>
        </w:rPr>
        <w:t xml:space="preserve"> BL</w:t>
      </w:r>
      <w:r w:rsidRPr="00F17AD5">
        <w:rPr>
          <w:rFonts w:cs="Arial"/>
          <w:noProof/>
          <w:sz w:val="16"/>
          <w:szCs w:val="16"/>
        </w:rPr>
        <w:t>, Young</w:t>
      </w:r>
      <w:r>
        <w:rPr>
          <w:rFonts w:cs="Arial"/>
          <w:noProof/>
          <w:sz w:val="16"/>
          <w:szCs w:val="16"/>
        </w:rPr>
        <w:t xml:space="preserve"> JF</w:t>
      </w:r>
      <w:r w:rsidRPr="00F17AD5">
        <w:rPr>
          <w:rFonts w:cs="Arial"/>
          <w:noProof/>
          <w:sz w:val="16"/>
          <w:szCs w:val="16"/>
        </w:rPr>
        <w:t>, Abela</w:t>
      </w:r>
      <w:r>
        <w:rPr>
          <w:rFonts w:cs="Arial"/>
          <w:noProof/>
          <w:sz w:val="16"/>
          <w:szCs w:val="16"/>
        </w:rPr>
        <w:t xml:space="preserve"> JRZ</w:t>
      </w:r>
      <w:r w:rsidRPr="00F17AD5">
        <w:rPr>
          <w:rFonts w:cs="Arial"/>
          <w:noProof/>
          <w:sz w:val="16"/>
          <w:szCs w:val="16"/>
        </w:rPr>
        <w:t>, Smolen</w:t>
      </w:r>
      <w:r>
        <w:rPr>
          <w:rFonts w:cs="Arial"/>
          <w:noProof/>
          <w:sz w:val="16"/>
          <w:szCs w:val="16"/>
        </w:rPr>
        <w:t xml:space="preserve"> A</w:t>
      </w:r>
      <w:r w:rsidRPr="00F17AD5">
        <w:rPr>
          <w:rFonts w:cs="Arial"/>
          <w:noProof/>
          <w:sz w:val="16"/>
          <w:szCs w:val="16"/>
        </w:rPr>
        <w:t>, Jenness</w:t>
      </w:r>
      <w:r>
        <w:rPr>
          <w:rFonts w:cs="Arial"/>
          <w:noProof/>
          <w:sz w:val="16"/>
          <w:szCs w:val="16"/>
        </w:rPr>
        <w:t xml:space="preserve"> JL</w:t>
      </w:r>
      <w:r w:rsidRPr="00F17AD5">
        <w:rPr>
          <w:rFonts w:cs="Arial"/>
          <w:noProof/>
          <w:sz w:val="16"/>
          <w:szCs w:val="16"/>
        </w:rPr>
        <w:t>, Gulley</w:t>
      </w:r>
      <w:r>
        <w:rPr>
          <w:rFonts w:cs="Arial"/>
          <w:noProof/>
          <w:sz w:val="16"/>
          <w:szCs w:val="16"/>
        </w:rPr>
        <w:t xml:space="preserve"> LD</w:t>
      </w:r>
      <w:r w:rsidRPr="00F17AD5">
        <w:rPr>
          <w:rFonts w:cs="Arial"/>
          <w:noProof/>
          <w:sz w:val="16"/>
          <w:szCs w:val="16"/>
        </w:rPr>
        <w:t xml:space="preserve">, et al. (2015) Depression from childhood into late adolescence: influence of gender, development, genetic susceptibility, and peer stress. </w:t>
      </w:r>
      <w:r w:rsidRPr="00F17AD5">
        <w:rPr>
          <w:rFonts w:cs="Arial"/>
          <w:i/>
          <w:noProof/>
          <w:sz w:val="16"/>
          <w:szCs w:val="16"/>
        </w:rPr>
        <w:t>Journal of Abnormal Psychology</w:t>
      </w:r>
      <w:r w:rsidRPr="00F17AD5">
        <w:rPr>
          <w:rFonts w:cs="Arial"/>
          <w:noProof/>
          <w:sz w:val="16"/>
          <w:szCs w:val="16"/>
        </w:rPr>
        <w:t>. 124(4):803-16</w:t>
      </w:r>
      <w:r w:rsidRPr="00F17AD5">
        <w:rPr>
          <w:rFonts w:cs="Arial"/>
          <w:sz w:val="16"/>
          <w:szCs w:val="16"/>
        </w:rPr>
        <w:fldChar w:fldCharType="end"/>
      </w:r>
      <w:r w:rsidRPr="00F17AD5">
        <w:rPr>
          <w:rFonts w:cs="Arial"/>
          <w:sz w:val="16"/>
          <w:szCs w:val="16"/>
        </w:rPr>
        <w:t xml:space="preserve">. Available from: </w:t>
      </w:r>
      <w:hyperlink r:id="rId8" w:history="1">
        <w:r w:rsidRPr="00F17AD5">
          <w:rPr>
            <w:rStyle w:val="Hyperlink"/>
            <w:rFonts w:cs="Arial"/>
            <w:sz w:val="16"/>
            <w:szCs w:val="16"/>
          </w:rPr>
          <w:t>URL</w:t>
        </w:r>
      </w:hyperlink>
    </w:p>
  </w:footnote>
  <w:footnote w:id="11">
    <w:p w14:paraId="76C4601B" w14:textId="32DA1184" w:rsidR="00B208C1" w:rsidRPr="00F17AD5" w:rsidRDefault="00B208C1" w:rsidP="001E1BCB">
      <w:pPr>
        <w:pStyle w:val="FootnoteText"/>
        <w:tabs>
          <w:tab w:val="left" w:pos="255"/>
        </w:tabs>
        <w:spacing w:after="40"/>
        <w:ind w:left="255" w:hanging="255"/>
        <w:jc w:val="both"/>
        <w:rPr>
          <w:rStyle w:val="FootnoteReference"/>
          <w:rFonts w:cs="Arial"/>
          <w:sz w:val="16"/>
          <w:szCs w:val="16"/>
          <w:vertAlign w:val="baseline"/>
        </w:rPr>
      </w:pPr>
      <w:r w:rsidRPr="007F7006">
        <w:rPr>
          <w:rStyle w:val="FootnoteReference"/>
          <w:rFonts w:cs="Arial"/>
          <w:sz w:val="18"/>
          <w:szCs w:val="18"/>
        </w:rPr>
        <w:footnoteRef/>
      </w:r>
      <w:r w:rsidRPr="007F7006">
        <w:rPr>
          <w:rStyle w:val="FootnoteReference"/>
          <w:rFonts w:cs="Arial"/>
          <w:sz w:val="18"/>
          <w:szCs w:val="18"/>
        </w:rPr>
        <w:t xml:space="preserve"> </w:t>
      </w:r>
      <w:r>
        <w:rPr>
          <w:rFonts w:cs="Arial"/>
          <w:sz w:val="16"/>
          <w:szCs w:val="16"/>
        </w:rPr>
        <w:tab/>
      </w:r>
      <w:r w:rsidRPr="00F17AD5">
        <w:rPr>
          <w:rFonts w:cs="Arial"/>
          <w:color w:val="000000"/>
          <w:sz w:val="16"/>
          <w:szCs w:val="16"/>
          <w:shd w:val="clear" w:color="auto" w:fill="FFFFFF"/>
          <w:lang w:eastAsia="en-AU"/>
        </w:rPr>
        <w:t>Duggan</w:t>
      </w:r>
      <w:r>
        <w:rPr>
          <w:rFonts w:cs="Arial"/>
          <w:color w:val="000000"/>
          <w:sz w:val="16"/>
          <w:szCs w:val="16"/>
          <w:shd w:val="clear" w:color="auto" w:fill="FFFFFF"/>
          <w:lang w:eastAsia="en-AU"/>
        </w:rPr>
        <w:t xml:space="preserve"> M </w:t>
      </w:r>
      <w:r w:rsidRPr="00F17AD5">
        <w:rPr>
          <w:rFonts w:cs="Arial"/>
          <w:color w:val="000000"/>
          <w:sz w:val="16"/>
          <w:szCs w:val="16"/>
          <w:shd w:val="clear" w:color="auto" w:fill="FFFFFF"/>
          <w:lang w:eastAsia="en-AU"/>
        </w:rPr>
        <w:t>(2016)</w:t>
      </w:r>
      <w:r>
        <w:rPr>
          <w:rFonts w:cs="Arial"/>
          <w:color w:val="000000"/>
          <w:sz w:val="16"/>
          <w:szCs w:val="16"/>
          <w:shd w:val="clear" w:color="auto" w:fill="FFFFFF"/>
          <w:lang w:eastAsia="en-AU"/>
        </w:rPr>
        <w:t xml:space="preserve"> </w:t>
      </w:r>
      <w:r w:rsidRPr="00F17AD5">
        <w:rPr>
          <w:rFonts w:cs="Arial"/>
          <w:iCs/>
          <w:color w:val="000000"/>
          <w:sz w:val="16"/>
          <w:szCs w:val="16"/>
          <w:shd w:val="clear" w:color="auto" w:fill="FFFFFF"/>
          <w:lang w:eastAsia="en-AU"/>
        </w:rPr>
        <w:t>Investing in women’s mental health: strengthening the foundations for women, families and the Australian economy.</w:t>
      </w:r>
      <w:r>
        <w:rPr>
          <w:rFonts w:cs="Arial"/>
          <w:iCs/>
          <w:color w:val="000000"/>
          <w:sz w:val="16"/>
          <w:szCs w:val="16"/>
          <w:shd w:val="clear" w:color="auto" w:fill="FFFFFF"/>
          <w:lang w:eastAsia="en-AU"/>
        </w:rPr>
        <w:t xml:space="preserve"> </w:t>
      </w:r>
      <w:r w:rsidRPr="00F17AD5">
        <w:rPr>
          <w:rFonts w:cs="Arial"/>
          <w:color w:val="000000"/>
          <w:sz w:val="16"/>
          <w:szCs w:val="16"/>
          <w:shd w:val="clear" w:color="auto" w:fill="FFFFFF"/>
          <w:lang w:eastAsia="en-AU"/>
        </w:rPr>
        <w:t xml:space="preserve">Australian Health Policy Collaboration, Melbourne. Available from: </w:t>
      </w:r>
      <w:hyperlink r:id="rId9" w:history="1">
        <w:r>
          <w:rPr>
            <w:rStyle w:val="Hyperlink"/>
            <w:rFonts w:cs="Arial"/>
            <w:sz w:val="16"/>
            <w:szCs w:val="16"/>
          </w:rPr>
          <w:t>URL</w:t>
        </w:r>
      </w:hyperlink>
    </w:p>
  </w:footnote>
  <w:footnote w:id="12">
    <w:p w14:paraId="66A7D65B" w14:textId="456ACD87" w:rsidR="00B208C1" w:rsidRPr="00F17AD5" w:rsidRDefault="00B208C1" w:rsidP="001E1BCB">
      <w:pPr>
        <w:pStyle w:val="FootnoteText"/>
        <w:tabs>
          <w:tab w:val="left" w:pos="255"/>
        </w:tabs>
        <w:spacing w:after="40"/>
        <w:ind w:left="255" w:hanging="255"/>
        <w:jc w:val="both"/>
        <w:rPr>
          <w:rFonts w:cs="Arial"/>
          <w:sz w:val="16"/>
          <w:szCs w:val="16"/>
        </w:rPr>
      </w:pPr>
      <w:r w:rsidRPr="007F7006">
        <w:rPr>
          <w:rStyle w:val="FootnoteReference"/>
          <w:rFonts w:cs="Arial"/>
          <w:sz w:val="18"/>
          <w:szCs w:val="18"/>
        </w:rPr>
        <w:footnoteRef/>
      </w:r>
      <w:r w:rsidRPr="00F17AD5">
        <w:rPr>
          <w:rFonts w:cs="Arial"/>
          <w:sz w:val="16"/>
          <w:szCs w:val="16"/>
        </w:rPr>
        <w:t xml:space="preserve"> </w:t>
      </w:r>
      <w:r>
        <w:rPr>
          <w:rFonts w:cs="Arial"/>
          <w:sz w:val="16"/>
          <w:szCs w:val="16"/>
        </w:rPr>
        <w:tab/>
      </w:r>
      <w:r w:rsidRPr="00F17AD5">
        <w:rPr>
          <w:rFonts w:cs="Arial"/>
          <w:sz w:val="16"/>
          <w:szCs w:val="16"/>
        </w:rPr>
        <w:t>Hall S, Fildes J, Perrens B, Plummer J, Carlisle E, Cockayne N</w:t>
      </w:r>
      <w:r>
        <w:rPr>
          <w:rFonts w:cs="Arial"/>
          <w:sz w:val="16"/>
          <w:szCs w:val="16"/>
        </w:rPr>
        <w:t xml:space="preserve">, et al. </w:t>
      </w:r>
      <w:r w:rsidRPr="00F17AD5">
        <w:rPr>
          <w:rFonts w:cs="Arial"/>
          <w:sz w:val="16"/>
          <w:szCs w:val="16"/>
        </w:rPr>
        <w:t xml:space="preserve">(2019) </w:t>
      </w:r>
      <w:r w:rsidRPr="003061B9">
        <w:rPr>
          <w:rFonts w:cs="Arial"/>
          <w:sz w:val="16"/>
          <w:szCs w:val="16"/>
        </w:rPr>
        <w:t xml:space="preserve">Can we </w:t>
      </w:r>
      <w:r>
        <w:rPr>
          <w:rFonts w:cs="Arial"/>
          <w:sz w:val="16"/>
          <w:szCs w:val="16"/>
        </w:rPr>
        <w:t>t</w:t>
      </w:r>
      <w:r w:rsidRPr="003061B9">
        <w:rPr>
          <w:rFonts w:cs="Arial"/>
          <w:sz w:val="16"/>
          <w:szCs w:val="16"/>
        </w:rPr>
        <w:t>alk?</w:t>
      </w:r>
      <w:r>
        <w:rPr>
          <w:rFonts w:cs="Arial"/>
          <w:sz w:val="16"/>
          <w:szCs w:val="16"/>
        </w:rPr>
        <w:t>:</w:t>
      </w:r>
      <w:r w:rsidRPr="003061B9">
        <w:rPr>
          <w:rFonts w:cs="Arial"/>
          <w:sz w:val="16"/>
          <w:szCs w:val="16"/>
        </w:rPr>
        <w:t xml:space="preserve"> </w:t>
      </w:r>
      <w:r>
        <w:rPr>
          <w:rFonts w:cs="Arial"/>
          <w:sz w:val="16"/>
          <w:szCs w:val="16"/>
        </w:rPr>
        <w:t>s</w:t>
      </w:r>
      <w:r w:rsidRPr="003061B9">
        <w:rPr>
          <w:rFonts w:cs="Arial"/>
          <w:sz w:val="16"/>
          <w:szCs w:val="16"/>
        </w:rPr>
        <w:t xml:space="preserve">even </w:t>
      </w:r>
      <w:r>
        <w:rPr>
          <w:rFonts w:cs="Arial"/>
          <w:sz w:val="16"/>
          <w:szCs w:val="16"/>
        </w:rPr>
        <w:t>y</w:t>
      </w:r>
      <w:r w:rsidRPr="003061B9">
        <w:rPr>
          <w:rFonts w:cs="Arial"/>
          <w:sz w:val="16"/>
          <w:szCs w:val="16"/>
        </w:rPr>
        <w:t xml:space="preserve">ear </w:t>
      </w:r>
      <w:r>
        <w:rPr>
          <w:rFonts w:cs="Arial"/>
          <w:sz w:val="16"/>
          <w:szCs w:val="16"/>
        </w:rPr>
        <w:t>y</w:t>
      </w:r>
      <w:r w:rsidRPr="003061B9">
        <w:rPr>
          <w:rFonts w:cs="Arial"/>
          <w:sz w:val="16"/>
          <w:szCs w:val="16"/>
        </w:rPr>
        <w:t xml:space="preserve">outh </w:t>
      </w:r>
      <w:r>
        <w:rPr>
          <w:rFonts w:cs="Arial"/>
          <w:sz w:val="16"/>
          <w:szCs w:val="16"/>
        </w:rPr>
        <w:t>m</w:t>
      </w:r>
      <w:r w:rsidRPr="003061B9">
        <w:rPr>
          <w:rFonts w:cs="Arial"/>
          <w:sz w:val="16"/>
          <w:szCs w:val="16"/>
        </w:rPr>
        <w:t xml:space="preserve">ental </w:t>
      </w:r>
      <w:r>
        <w:rPr>
          <w:rFonts w:cs="Arial"/>
          <w:sz w:val="16"/>
          <w:szCs w:val="16"/>
        </w:rPr>
        <w:t>h</w:t>
      </w:r>
      <w:r w:rsidRPr="003061B9">
        <w:rPr>
          <w:rFonts w:cs="Arial"/>
          <w:sz w:val="16"/>
          <w:szCs w:val="16"/>
        </w:rPr>
        <w:t xml:space="preserve">ealth </w:t>
      </w:r>
      <w:r>
        <w:rPr>
          <w:rFonts w:cs="Arial"/>
          <w:sz w:val="16"/>
          <w:szCs w:val="16"/>
        </w:rPr>
        <w:t>r</w:t>
      </w:r>
      <w:r w:rsidRPr="003061B9">
        <w:rPr>
          <w:rFonts w:cs="Arial"/>
          <w:sz w:val="16"/>
          <w:szCs w:val="16"/>
        </w:rPr>
        <w:t>eport</w:t>
      </w:r>
      <w:r>
        <w:rPr>
          <w:rFonts w:cs="Arial"/>
          <w:sz w:val="16"/>
          <w:szCs w:val="16"/>
        </w:rPr>
        <w:t xml:space="preserve">: </w:t>
      </w:r>
      <w:r w:rsidRPr="003061B9">
        <w:rPr>
          <w:rFonts w:cs="Arial"/>
          <w:sz w:val="16"/>
          <w:szCs w:val="16"/>
        </w:rPr>
        <w:t>2012-2018</w:t>
      </w:r>
      <w:r w:rsidRPr="00F17AD5">
        <w:rPr>
          <w:rFonts w:cs="Arial"/>
          <w:sz w:val="16"/>
          <w:szCs w:val="16"/>
        </w:rPr>
        <w:t>. Mission Australia</w:t>
      </w:r>
      <w:r>
        <w:rPr>
          <w:rFonts w:cs="Arial"/>
          <w:sz w:val="16"/>
          <w:szCs w:val="16"/>
        </w:rPr>
        <w:t xml:space="preserve">, Sydney. Available from: </w:t>
      </w:r>
      <w:hyperlink r:id="rId10" w:history="1">
        <w:r w:rsidRPr="003061B9">
          <w:rPr>
            <w:rStyle w:val="Hyperlink"/>
            <w:rFonts w:cs="Arial"/>
            <w:sz w:val="16"/>
            <w:szCs w:val="16"/>
          </w:rPr>
          <w:t>URL</w:t>
        </w:r>
      </w:hyperlink>
    </w:p>
  </w:footnote>
  <w:footnote w:id="13">
    <w:p w14:paraId="4FD74649" w14:textId="2EA94E64" w:rsidR="00B208C1" w:rsidRPr="00F17AD5" w:rsidRDefault="00B208C1" w:rsidP="001E1BCB">
      <w:pPr>
        <w:pStyle w:val="FootnoteText"/>
        <w:tabs>
          <w:tab w:val="left" w:pos="255"/>
        </w:tabs>
        <w:spacing w:after="40"/>
        <w:ind w:left="255" w:hanging="255"/>
        <w:jc w:val="both"/>
        <w:rPr>
          <w:rFonts w:cs="Arial"/>
          <w:sz w:val="16"/>
          <w:szCs w:val="16"/>
        </w:rPr>
      </w:pPr>
      <w:r w:rsidRPr="007F7006">
        <w:rPr>
          <w:rStyle w:val="FootnoteReference"/>
          <w:rFonts w:cs="Arial"/>
          <w:sz w:val="18"/>
          <w:szCs w:val="18"/>
        </w:rPr>
        <w:footnoteRef/>
      </w:r>
      <w:r w:rsidRPr="007F7006">
        <w:rPr>
          <w:rFonts w:cs="Arial"/>
          <w:sz w:val="18"/>
          <w:szCs w:val="18"/>
        </w:rPr>
        <w:t xml:space="preserve"> </w:t>
      </w:r>
      <w:r>
        <w:rPr>
          <w:rFonts w:cs="Arial"/>
          <w:sz w:val="16"/>
          <w:szCs w:val="16"/>
        </w:rPr>
        <w:tab/>
      </w:r>
      <w:r w:rsidRPr="00F17AD5">
        <w:rPr>
          <w:rFonts w:cs="Arial"/>
          <w:sz w:val="16"/>
          <w:szCs w:val="16"/>
        </w:rPr>
        <w:t xml:space="preserve">Tiller E, Fildes J, Hall S, Hicking V, Greenland N, Liyanarachchi D, </w:t>
      </w:r>
      <w:r>
        <w:rPr>
          <w:rFonts w:cs="Arial"/>
          <w:sz w:val="16"/>
          <w:szCs w:val="16"/>
        </w:rPr>
        <w:t>et al. (2020)</w:t>
      </w:r>
      <w:r w:rsidRPr="003061B9">
        <w:rPr>
          <w:rFonts w:cs="Arial"/>
          <w:sz w:val="16"/>
          <w:szCs w:val="16"/>
        </w:rPr>
        <w:t xml:space="preserve"> Youth Survey Report 2020</w:t>
      </w:r>
      <w:r>
        <w:rPr>
          <w:rFonts w:cs="Arial"/>
          <w:sz w:val="16"/>
          <w:szCs w:val="16"/>
        </w:rPr>
        <w:t xml:space="preserve">. Mission Australia, Sydney. Available from: </w:t>
      </w:r>
      <w:hyperlink r:id="rId11" w:history="1">
        <w:r w:rsidRPr="003061B9">
          <w:rPr>
            <w:rStyle w:val="Hyperlink"/>
            <w:rFonts w:cs="Arial"/>
            <w:sz w:val="16"/>
            <w:szCs w:val="16"/>
          </w:rPr>
          <w:t>URL</w:t>
        </w:r>
      </w:hyperlink>
    </w:p>
  </w:footnote>
  <w:footnote w:id="14">
    <w:p w14:paraId="10B04792" w14:textId="0ECA609F" w:rsidR="00B208C1" w:rsidRPr="00F17AD5" w:rsidRDefault="00B208C1" w:rsidP="001E1BCB">
      <w:pPr>
        <w:pStyle w:val="FootnoteText"/>
        <w:tabs>
          <w:tab w:val="left" w:pos="255"/>
          <w:tab w:val="left" w:pos="288"/>
          <w:tab w:val="left" w:pos="357"/>
        </w:tabs>
        <w:spacing w:after="40"/>
        <w:ind w:left="255" w:hanging="255"/>
        <w:jc w:val="both"/>
        <w:rPr>
          <w:rFonts w:cs="Arial"/>
          <w:sz w:val="16"/>
          <w:szCs w:val="16"/>
        </w:rPr>
      </w:pPr>
      <w:r w:rsidRPr="007F7006">
        <w:rPr>
          <w:rStyle w:val="FootnoteReference"/>
          <w:rFonts w:cs="Arial"/>
          <w:sz w:val="18"/>
          <w:szCs w:val="18"/>
        </w:rPr>
        <w:footnoteRef/>
      </w:r>
      <w:r w:rsidRPr="00F17AD5">
        <w:rPr>
          <w:rFonts w:cs="Arial"/>
          <w:sz w:val="16"/>
          <w:szCs w:val="16"/>
        </w:rPr>
        <w:t xml:space="preserve"> </w:t>
      </w:r>
      <w:r>
        <w:rPr>
          <w:rFonts w:cs="Arial"/>
          <w:sz w:val="16"/>
          <w:szCs w:val="16"/>
        </w:rPr>
        <w:tab/>
      </w:r>
      <w:r w:rsidRPr="00F17AD5">
        <w:rPr>
          <w:rFonts w:cs="Arial"/>
          <w:sz w:val="16"/>
          <w:szCs w:val="16"/>
        </w:rPr>
        <w:fldChar w:fldCharType="begin"/>
      </w:r>
      <w:r w:rsidRPr="00F17AD5">
        <w:rPr>
          <w:rFonts w:cs="Arial"/>
          <w:sz w:val="16"/>
          <w:szCs w:val="16"/>
        </w:rPr>
        <w:instrText xml:space="preserve"> ADDIN EN.CITE &lt;EndNote&gt;&lt;Cite&gt;&lt;Author&gt;Women with Disabilities Australia&lt;/Author&gt;&lt;Year&gt;2015&lt;/Year&gt;&lt;RecNum&gt;682&lt;/RecNum&gt;&lt;DisplayText&gt;Women with Disabilities Australia (2015) Submission to the UN Committee on the Rights of the Child (CRC) : development of the General Comment on the Rights of Adolescents&lt;/DisplayText&gt;&lt;record&gt;&lt;rec-number&gt;682&lt;/rec-number&gt;&lt;foreign-keys&gt;&lt;key app="EN" db-id="ssa09sw2ttazvjex2225xtt350ewfx2vadfs"&gt;682&lt;/key&gt;&lt;/foreign-keys&gt;&lt;ref-type name="Book"&gt;6&lt;/ref-type&gt;&lt;contributors&gt;&lt;authors&gt;&lt;author&gt;Women with Disabilities Australia,&lt;/author&gt;&lt;/authors&gt;&lt;/contributors&gt;&lt;titles&gt;&lt;title&gt;Submission to the UN Committee on the Rights of the Child (CRC) : development of the General Comment on the Rights of Adolescents&lt;/title&gt;&lt;/titles&gt;&lt;dates&gt;&lt;year&gt;2015&lt;/year&gt;&lt;/dates&gt;&lt;pub-location&gt;Lenah Valley, Tas.&lt;/pub-location&gt;&lt;publisher&gt;Women with Disabilities Australia&lt;/publisher&gt;&lt;urls&gt;&lt;related-urls&gt;&lt;url&gt;http://wwda.org.au/wp-content/uploads/2013/12/WWDA_Sub_CRC_GC_Adolescents.pdf&lt;/url&gt;&lt;/related-urls&gt;&lt;/urls&gt;&lt;/record&gt;&lt;/Cite&gt;&lt;/EndNote&gt;</w:instrText>
      </w:r>
      <w:r w:rsidRPr="00F17AD5">
        <w:rPr>
          <w:rFonts w:cs="Arial"/>
          <w:sz w:val="16"/>
          <w:szCs w:val="16"/>
        </w:rPr>
        <w:fldChar w:fldCharType="separate"/>
      </w:r>
      <w:r w:rsidRPr="00F17AD5">
        <w:rPr>
          <w:rFonts w:cs="Arial"/>
          <w:noProof/>
          <w:sz w:val="16"/>
          <w:szCs w:val="16"/>
        </w:rPr>
        <w:t>Women with Disabilities Australia (2015) Submission to the UN Committee on the Rights of the Child (CRC): development of the General Comment on the Rights of Adolescents</w:t>
      </w:r>
      <w:r w:rsidRPr="00F17AD5">
        <w:rPr>
          <w:rFonts w:cs="Arial"/>
          <w:sz w:val="16"/>
          <w:szCs w:val="16"/>
        </w:rPr>
        <w:fldChar w:fldCharType="end"/>
      </w:r>
      <w:r>
        <w:rPr>
          <w:rFonts w:cs="Arial"/>
          <w:sz w:val="16"/>
          <w:szCs w:val="16"/>
        </w:rPr>
        <w:t>. WWDA, Lenah Valley, Tas.</w:t>
      </w:r>
      <w:r w:rsidRPr="00F17AD5">
        <w:rPr>
          <w:rFonts w:cs="Arial"/>
          <w:sz w:val="16"/>
          <w:szCs w:val="16"/>
        </w:rPr>
        <w:t xml:space="preserve">, p. 9. Available from: </w:t>
      </w:r>
      <w:hyperlink r:id="rId12" w:history="1">
        <w:r>
          <w:rPr>
            <w:rStyle w:val="Hyperlink"/>
            <w:rFonts w:cs="Arial"/>
            <w:sz w:val="16"/>
            <w:szCs w:val="16"/>
          </w:rPr>
          <w:t>URL</w:t>
        </w:r>
      </w:hyperlink>
    </w:p>
  </w:footnote>
  <w:footnote w:id="15">
    <w:p w14:paraId="55B678D7" w14:textId="057EB3A2" w:rsidR="00B208C1" w:rsidRPr="00F17AD5" w:rsidRDefault="00B208C1" w:rsidP="001E1BCB">
      <w:pPr>
        <w:pStyle w:val="FootnoteText"/>
        <w:tabs>
          <w:tab w:val="left" w:pos="255"/>
          <w:tab w:val="left" w:pos="288"/>
        </w:tabs>
        <w:spacing w:after="40"/>
        <w:ind w:left="255" w:hanging="255"/>
        <w:jc w:val="both"/>
        <w:rPr>
          <w:rFonts w:cs="Arial"/>
          <w:sz w:val="16"/>
          <w:szCs w:val="16"/>
          <w:lang w:val="en-US"/>
        </w:rPr>
      </w:pPr>
      <w:r w:rsidRPr="00A74AD1">
        <w:rPr>
          <w:rStyle w:val="FootnoteReference"/>
          <w:rFonts w:cs="Arial"/>
          <w:sz w:val="18"/>
          <w:szCs w:val="18"/>
        </w:rPr>
        <w:footnoteRef/>
      </w:r>
      <w:r w:rsidRPr="00A74AD1">
        <w:rPr>
          <w:rFonts w:cs="Arial"/>
          <w:sz w:val="18"/>
          <w:szCs w:val="18"/>
        </w:rPr>
        <w:t xml:space="preserve"> </w:t>
      </w:r>
      <w:r>
        <w:rPr>
          <w:rFonts w:cs="Arial"/>
          <w:sz w:val="16"/>
          <w:szCs w:val="16"/>
        </w:rPr>
        <w:tab/>
      </w:r>
      <w:r w:rsidRPr="00F17AD5">
        <w:rPr>
          <w:rFonts w:cs="Arial"/>
          <w:sz w:val="16"/>
          <w:szCs w:val="16"/>
        </w:rPr>
        <w:t xml:space="preserve">Suicide Prevention Australia (2016) Suicide and </w:t>
      </w:r>
      <w:r>
        <w:rPr>
          <w:rFonts w:cs="Arial"/>
          <w:sz w:val="16"/>
          <w:szCs w:val="16"/>
        </w:rPr>
        <w:t>s</w:t>
      </w:r>
      <w:r w:rsidRPr="00F17AD5">
        <w:rPr>
          <w:rFonts w:cs="Arial"/>
          <w:sz w:val="16"/>
          <w:szCs w:val="16"/>
        </w:rPr>
        <w:t xml:space="preserve">uicidal </w:t>
      </w:r>
      <w:r>
        <w:rPr>
          <w:rFonts w:cs="Arial"/>
          <w:sz w:val="16"/>
          <w:szCs w:val="16"/>
        </w:rPr>
        <w:t>b</w:t>
      </w:r>
      <w:r w:rsidRPr="00F17AD5">
        <w:rPr>
          <w:rFonts w:cs="Arial"/>
          <w:sz w:val="16"/>
          <w:szCs w:val="16"/>
        </w:rPr>
        <w:t xml:space="preserve">ehaviour in </w:t>
      </w:r>
      <w:r>
        <w:rPr>
          <w:rFonts w:cs="Arial"/>
          <w:sz w:val="16"/>
          <w:szCs w:val="16"/>
        </w:rPr>
        <w:t>w</w:t>
      </w:r>
      <w:r w:rsidRPr="00F17AD5">
        <w:rPr>
          <w:rFonts w:cs="Arial"/>
          <w:sz w:val="16"/>
          <w:szCs w:val="16"/>
        </w:rPr>
        <w:t>omen</w:t>
      </w:r>
      <w:r>
        <w:rPr>
          <w:rFonts w:cs="Arial"/>
          <w:sz w:val="16"/>
          <w:szCs w:val="16"/>
        </w:rPr>
        <w:t xml:space="preserve">: issues and prevention: a discussion paper. Suicide Prevention Australia. Sydney, </w:t>
      </w:r>
      <w:r w:rsidRPr="00F17AD5">
        <w:rPr>
          <w:rFonts w:cs="Arial"/>
          <w:sz w:val="16"/>
          <w:szCs w:val="16"/>
        </w:rPr>
        <w:t>p</w:t>
      </w:r>
      <w:r>
        <w:rPr>
          <w:rFonts w:cs="Arial"/>
          <w:sz w:val="16"/>
          <w:szCs w:val="16"/>
        </w:rPr>
        <w:t xml:space="preserve">. </w:t>
      </w:r>
      <w:r w:rsidRPr="00F17AD5">
        <w:rPr>
          <w:rFonts w:cs="Arial"/>
          <w:sz w:val="16"/>
          <w:szCs w:val="16"/>
        </w:rPr>
        <w:t xml:space="preserve">24. Available from: </w:t>
      </w:r>
      <w:hyperlink r:id="rId13" w:history="1">
        <w:r>
          <w:rPr>
            <w:rStyle w:val="Hyperlink"/>
            <w:rFonts w:cs="Arial"/>
            <w:sz w:val="16"/>
            <w:szCs w:val="16"/>
          </w:rPr>
          <w:t>URL</w:t>
        </w:r>
      </w:hyperlink>
    </w:p>
  </w:footnote>
  <w:footnote w:id="16">
    <w:p w14:paraId="5446B0E9" w14:textId="52BCAED4" w:rsidR="00B208C1" w:rsidRPr="00F17AD5" w:rsidRDefault="00B208C1" w:rsidP="001E1BCB">
      <w:pPr>
        <w:pStyle w:val="FootnoteText"/>
        <w:tabs>
          <w:tab w:val="left" w:pos="255"/>
        </w:tabs>
        <w:spacing w:after="40"/>
        <w:ind w:left="255" w:hanging="255"/>
        <w:jc w:val="both"/>
        <w:rPr>
          <w:rFonts w:cs="Arial"/>
          <w:sz w:val="16"/>
          <w:szCs w:val="16"/>
        </w:rPr>
      </w:pPr>
      <w:r w:rsidRPr="00A74AD1">
        <w:rPr>
          <w:rStyle w:val="FootnoteReference"/>
          <w:rFonts w:cs="Arial"/>
          <w:sz w:val="18"/>
          <w:szCs w:val="18"/>
        </w:rPr>
        <w:footnoteRef/>
      </w:r>
      <w:r w:rsidRPr="00F17AD5">
        <w:rPr>
          <w:rFonts w:cs="Arial"/>
          <w:sz w:val="16"/>
          <w:szCs w:val="16"/>
        </w:rPr>
        <w:t xml:space="preserve"> </w:t>
      </w:r>
      <w:r>
        <w:rPr>
          <w:rFonts w:cs="Arial"/>
          <w:sz w:val="16"/>
          <w:szCs w:val="16"/>
        </w:rPr>
        <w:tab/>
      </w:r>
      <w:r w:rsidRPr="00F17AD5">
        <w:rPr>
          <w:rFonts w:cs="Arial"/>
          <w:sz w:val="16"/>
          <w:szCs w:val="16"/>
        </w:rPr>
        <w:t xml:space="preserve">Tiller E, Fildes J, Hall S, Hicking V, Greenland N, Liyanarachchi D, </w:t>
      </w:r>
      <w:r>
        <w:rPr>
          <w:rFonts w:cs="Arial"/>
          <w:sz w:val="16"/>
          <w:szCs w:val="16"/>
        </w:rPr>
        <w:t>et al. (2020)</w:t>
      </w:r>
      <w:r w:rsidRPr="003061B9">
        <w:rPr>
          <w:rFonts w:cs="Arial"/>
          <w:sz w:val="16"/>
          <w:szCs w:val="16"/>
        </w:rPr>
        <w:t xml:space="preserve"> Youth Survey Report 2020</w:t>
      </w:r>
      <w:r>
        <w:rPr>
          <w:rFonts w:cs="Arial"/>
          <w:sz w:val="16"/>
          <w:szCs w:val="16"/>
        </w:rPr>
        <w:t xml:space="preserve">. Mission Australia, Sydney. Available from: </w:t>
      </w:r>
      <w:hyperlink r:id="rId14" w:history="1">
        <w:r w:rsidRPr="003061B9">
          <w:rPr>
            <w:rStyle w:val="Hyperlink"/>
            <w:rFonts w:cs="Arial"/>
            <w:sz w:val="16"/>
            <w:szCs w:val="16"/>
          </w:rPr>
          <w:t>URL</w:t>
        </w:r>
      </w:hyperlink>
    </w:p>
  </w:footnote>
  <w:footnote w:id="17">
    <w:p w14:paraId="36FDCE8F" w14:textId="4D277B2C" w:rsidR="00B208C1" w:rsidRDefault="00B208C1" w:rsidP="001E1BCB">
      <w:pPr>
        <w:pStyle w:val="FootnoteText"/>
        <w:tabs>
          <w:tab w:val="left" w:pos="255"/>
        </w:tabs>
        <w:spacing w:after="40"/>
        <w:ind w:left="255" w:hanging="255"/>
        <w:jc w:val="both"/>
      </w:pPr>
      <w:r w:rsidRPr="00A74AD1">
        <w:rPr>
          <w:rStyle w:val="FootnoteReference"/>
          <w:sz w:val="18"/>
          <w:szCs w:val="18"/>
        </w:rPr>
        <w:footnoteRef/>
      </w:r>
      <w:r>
        <w:t xml:space="preserve"> </w:t>
      </w:r>
      <w:r>
        <w:tab/>
      </w:r>
      <w:r w:rsidRPr="004B6527">
        <w:rPr>
          <w:sz w:val="16"/>
          <w:szCs w:val="16"/>
        </w:rPr>
        <w:t>M</w:t>
      </w:r>
      <w:r>
        <w:rPr>
          <w:sz w:val="16"/>
          <w:szCs w:val="16"/>
        </w:rPr>
        <w:t>ulticultural Centre for Women’s Health</w:t>
      </w:r>
      <w:r w:rsidRPr="004B6527">
        <w:rPr>
          <w:sz w:val="16"/>
          <w:szCs w:val="16"/>
        </w:rPr>
        <w:t xml:space="preserve"> (2020)</w:t>
      </w:r>
      <w:r w:rsidRPr="0000595B">
        <w:rPr>
          <w:sz w:val="16"/>
          <w:szCs w:val="16"/>
        </w:rPr>
        <w:t xml:space="preserve">, </w:t>
      </w:r>
      <w:r w:rsidRPr="004B6527">
        <w:rPr>
          <w:sz w:val="16"/>
          <w:szCs w:val="16"/>
        </w:rPr>
        <w:t>Policy brief: Immigrant and refugee women’s mental health</w:t>
      </w:r>
      <w:r>
        <w:rPr>
          <w:sz w:val="16"/>
          <w:szCs w:val="16"/>
        </w:rPr>
        <w:t xml:space="preserve">. </w:t>
      </w:r>
      <w:r w:rsidRPr="0000595B">
        <w:rPr>
          <w:sz w:val="16"/>
          <w:szCs w:val="16"/>
        </w:rPr>
        <w:t>Multicultural Centre for Women’s Health</w:t>
      </w:r>
      <w:r>
        <w:rPr>
          <w:sz w:val="16"/>
          <w:szCs w:val="16"/>
        </w:rPr>
        <w:t xml:space="preserve">, </w:t>
      </w:r>
      <w:r w:rsidRPr="0000595B">
        <w:rPr>
          <w:sz w:val="16"/>
          <w:szCs w:val="16"/>
        </w:rPr>
        <w:t>Collingwood</w:t>
      </w:r>
      <w:r>
        <w:rPr>
          <w:sz w:val="16"/>
          <w:szCs w:val="16"/>
        </w:rPr>
        <w:t xml:space="preserve">, Vic. Available from: </w:t>
      </w:r>
      <w:hyperlink r:id="rId15" w:history="1">
        <w:r w:rsidRPr="004B6527">
          <w:rPr>
            <w:rStyle w:val="Hyperlink"/>
            <w:sz w:val="16"/>
            <w:szCs w:val="16"/>
          </w:rPr>
          <w:t>URL</w:t>
        </w:r>
      </w:hyperlink>
    </w:p>
  </w:footnote>
  <w:footnote w:id="18">
    <w:p w14:paraId="41EA1DB7" w14:textId="27A280F5" w:rsidR="00B208C1" w:rsidRPr="00F17AD5" w:rsidRDefault="00B208C1" w:rsidP="001E1BCB">
      <w:pPr>
        <w:pStyle w:val="EndnoteText"/>
        <w:tabs>
          <w:tab w:val="left" w:pos="255"/>
        </w:tabs>
        <w:spacing w:after="40"/>
        <w:ind w:left="255" w:hanging="255"/>
        <w:jc w:val="both"/>
        <w:rPr>
          <w:rFonts w:cs="Arial"/>
          <w:sz w:val="16"/>
          <w:szCs w:val="16"/>
        </w:rPr>
      </w:pPr>
      <w:r w:rsidRPr="00A74AD1">
        <w:rPr>
          <w:rStyle w:val="FootnoteReference"/>
          <w:rFonts w:cs="Arial"/>
          <w:sz w:val="18"/>
          <w:szCs w:val="18"/>
        </w:rPr>
        <w:footnoteRef/>
      </w:r>
      <w:r w:rsidRPr="00F17AD5">
        <w:rPr>
          <w:rFonts w:cs="Arial"/>
          <w:sz w:val="16"/>
          <w:szCs w:val="16"/>
        </w:rPr>
        <w:t xml:space="preserve"> </w:t>
      </w:r>
      <w:r>
        <w:rPr>
          <w:rFonts w:cs="Arial"/>
          <w:sz w:val="16"/>
          <w:szCs w:val="16"/>
        </w:rPr>
        <w:tab/>
      </w:r>
      <w:r w:rsidRPr="00A74AD1">
        <w:rPr>
          <w:rFonts w:ascii="Arial" w:hAnsi="Arial" w:cs="Arial"/>
          <w:sz w:val="16"/>
          <w:szCs w:val="16"/>
        </w:rPr>
        <w:t>Kabatek J (2020) Jobless and distressed: the disproportionate effects of COVID-19 on young Australians.</w:t>
      </w:r>
      <w:r>
        <w:rPr>
          <w:rFonts w:ascii="Arial" w:hAnsi="Arial" w:cs="Arial"/>
          <w:sz w:val="16"/>
          <w:szCs w:val="16"/>
        </w:rPr>
        <w:t xml:space="preserve"> Melbourne Institute, Parkville, Vic. – (</w:t>
      </w:r>
      <w:r w:rsidRPr="006765F7">
        <w:rPr>
          <w:rFonts w:ascii="Arial" w:hAnsi="Arial" w:cs="Arial"/>
          <w:i/>
          <w:iCs/>
          <w:sz w:val="16"/>
          <w:szCs w:val="16"/>
        </w:rPr>
        <w:t>Research Insights</w:t>
      </w:r>
      <w:r>
        <w:rPr>
          <w:rFonts w:ascii="Arial" w:hAnsi="Arial" w:cs="Arial"/>
          <w:sz w:val="16"/>
          <w:szCs w:val="16"/>
        </w:rPr>
        <w:t>; 26/20)</w:t>
      </w:r>
      <w:r w:rsidRPr="00A74AD1">
        <w:rPr>
          <w:rFonts w:ascii="Arial" w:hAnsi="Arial" w:cs="Arial"/>
          <w:sz w:val="16"/>
          <w:szCs w:val="16"/>
        </w:rPr>
        <w:t xml:space="preserve">. Available from: </w:t>
      </w:r>
      <w:hyperlink r:id="rId16" w:history="1">
        <w:r w:rsidRPr="00A74AD1">
          <w:rPr>
            <w:rStyle w:val="Hyperlink"/>
            <w:rFonts w:ascii="Arial" w:hAnsi="Arial" w:cs="Arial"/>
            <w:sz w:val="16"/>
            <w:szCs w:val="16"/>
          </w:rPr>
          <w:t>URL</w:t>
        </w:r>
      </w:hyperlink>
    </w:p>
  </w:footnote>
  <w:footnote w:id="19">
    <w:p w14:paraId="4D82C02F" w14:textId="182112A7" w:rsidR="00B208C1" w:rsidRPr="00F17AD5" w:rsidRDefault="00B208C1" w:rsidP="001E1BCB">
      <w:pPr>
        <w:pStyle w:val="FootnoteText"/>
        <w:tabs>
          <w:tab w:val="left" w:pos="255"/>
        </w:tabs>
        <w:spacing w:after="40"/>
        <w:ind w:left="255" w:hanging="255"/>
        <w:jc w:val="both"/>
        <w:rPr>
          <w:rFonts w:cs="Arial"/>
          <w:sz w:val="16"/>
          <w:szCs w:val="16"/>
        </w:rPr>
      </w:pPr>
      <w:r w:rsidRPr="00A74AD1">
        <w:rPr>
          <w:rStyle w:val="FootnoteReference"/>
          <w:rFonts w:cs="Arial"/>
          <w:sz w:val="18"/>
          <w:szCs w:val="18"/>
        </w:rPr>
        <w:footnoteRef/>
      </w:r>
      <w:r w:rsidRPr="00F17AD5">
        <w:rPr>
          <w:rFonts w:cs="Arial"/>
          <w:sz w:val="16"/>
          <w:szCs w:val="16"/>
        </w:rPr>
        <w:t xml:space="preserve"> </w:t>
      </w:r>
      <w:r>
        <w:rPr>
          <w:rFonts w:cs="Arial"/>
          <w:sz w:val="16"/>
          <w:szCs w:val="16"/>
        </w:rPr>
        <w:tab/>
      </w:r>
      <w:r w:rsidRPr="00F17AD5">
        <w:rPr>
          <w:rFonts w:cs="Arial"/>
          <w:sz w:val="16"/>
          <w:szCs w:val="16"/>
        </w:rPr>
        <w:t xml:space="preserve">Clayton R (2020) </w:t>
      </w:r>
      <w:r w:rsidRPr="0025368D">
        <w:rPr>
          <w:rFonts w:cs="Arial"/>
          <w:sz w:val="16"/>
          <w:szCs w:val="16"/>
        </w:rPr>
        <w:t>Statistics show increase in children presenting to hospitals after self-harming</w:t>
      </w:r>
      <w:r>
        <w:rPr>
          <w:rFonts w:cs="Arial"/>
          <w:sz w:val="16"/>
          <w:szCs w:val="16"/>
        </w:rPr>
        <w:t>.</w:t>
      </w:r>
      <w:r w:rsidRPr="00F17AD5">
        <w:rPr>
          <w:rFonts w:cs="Arial"/>
          <w:sz w:val="16"/>
          <w:szCs w:val="16"/>
        </w:rPr>
        <w:t xml:space="preserve"> </w:t>
      </w:r>
      <w:r w:rsidRPr="0025368D">
        <w:rPr>
          <w:rFonts w:cs="Arial"/>
          <w:i/>
          <w:iCs/>
          <w:sz w:val="16"/>
          <w:szCs w:val="16"/>
        </w:rPr>
        <w:t>ABC Online</w:t>
      </w:r>
      <w:r>
        <w:rPr>
          <w:rFonts w:cs="Arial"/>
          <w:sz w:val="16"/>
          <w:szCs w:val="16"/>
        </w:rPr>
        <w:t xml:space="preserve">, (Aug 8). Available from: </w:t>
      </w:r>
      <w:hyperlink r:id="rId17" w:history="1">
        <w:r w:rsidRPr="0025368D">
          <w:rPr>
            <w:rStyle w:val="Hyperlink"/>
            <w:rFonts w:cs="Arial"/>
            <w:sz w:val="16"/>
            <w:szCs w:val="16"/>
          </w:rPr>
          <w:t>URL</w:t>
        </w:r>
      </w:hyperlink>
    </w:p>
  </w:footnote>
  <w:footnote w:id="20">
    <w:p w14:paraId="2C13A896" w14:textId="4D709FCB" w:rsidR="00B208C1" w:rsidRPr="00F17AD5" w:rsidRDefault="00B208C1" w:rsidP="001E1BCB">
      <w:pPr>
        <w:pStyle w:val="FootnoteText"/>
        <w:tabs>
          <w:tab w:val="left" w:pos="255"/>
        </w:tabs>
        <w:spacing w:after="40"/>
        <w:ind w:left="255" w:hanging="255"/>
        <w:jc w:val="both"/>
        <w:rPr>
          <w:rFonts w:cs="Arial"/>
          <w:sz w:val="16"/>
          <w:szCs w:val="16"/>
        </w:rPr>
      </w:pPr>
      <w:r w:rsidRPr="00A74AD1">
        <w:rPr>
          <w:rStyle w:val="FootnoteReference"/>
          <w:rFonts w:cs="Arial"/>
          <w:sz w:val="18"/>
          <w:szCs w:val="18"/>
        </w:rPr>
        <w:footnoteRef/>
      </w:r>
      <w:r w:rsidRPr="00A74AD1">
        <w:rPr>
          <w:rFonts w:cs="Arial"/>
          <w:sz w:val="18"/>
          <w:szCs w:val="18"/>
        </w:rPr>
        <w:t xml:space="preserve"> </w:t>
      </w:r>
      <w:r>
        <w:rPr>
          <w:rFonts w:cs="Arial"/>
          <w:sz w:val="16"/>
          <w:szCs w:val="16"/>
        </w:rPr>
        <w:tab/>
      </w:r>
      <w:r w:rsidRPr="00F17AD5">
        <w:rPr>
          <w:rFonts w:cs="Arial"/>
          <w:sz w:val="16"/>
          <w:szCs w:val="16"/>
          <w:shd w:val="clear" w:color="auto" w:fill="FAFAFA"/>
        </w:rPr>
        <w:t xml:space="preserve">Women’s Health Victoria (2020) </w:t>
      </w:r>
      <w:r w:rsidRPr="0025368D">
        <w:rPr>
          <w:rFonts w:cs="Arial"/>
          <w:sz w:val="16"/>
          <w:szCs w:val="16"/>
        </w:rPr>
        <w:t xml:space="preserve">Mental health: Self-harm: </w:t>
      </w:r>
      <w:r>
        <w:rPr>
          <w:rFonts w:cs="Arial"/>
          <w:sz w:val="16"/>
          <w:szCs w:val="16"/>
        </w:rPr>
        <w:t>r</w:t>
      </w:r>
      <w:r w:rsidRPr="0025368D">
        <w:rPr>
          <w:rFonts w:cs="Arial"/>
          <w:sz w:val="16"/>
          <w:szCs w:val="16"/>
        </w:rPr>
        <w:t xml:space="preserve">ate (per 1,000), </w:t>
      </w:r>
      <w:r w:rsidRPr="001F5DA3">
        <w:rPr>
          <w:rFonts w:cs="Arial"/>
          <w:sz w:val="16"/>
          <w:szCs w:val="16"/>
        </w:rPr>
        <w:t>2018</w:t>
      </w:r>
      <w:r w:rsidRPr="001F5DA3">
        <w:rPr>
          <w:rStyle w:val="Hyperlink"/>
          <w:rFonts w:cs="Arial"/>
          <w:color w:val="auto"/>
          <w:sz w:val="16"/>
          <w:szCs w:val="16"/>
        </w:rPr>
        <w:t>.</w:t>
      </w:r>
      <w:r w:rsidRPr="00F17AD5">
        <w:rPr>
          <w:rFonts w:cs="Arial"/>
          <w:sz w:val="16"/>
          <w:szCs w:val="16"/>
          <w:shd w:val="clear" w:color="auto" w:fill="FAFAFA"/>
        </w:rPr>
        <w:t xml:space="preserve"> </w:t>
      </w:r>
      <w:r w:rsidRPr="0025368D">
        <w:rPr>
          <w:rFonts w:cs="Arial"/>
          <w:i/>
          <w:iCs/>
          <w:sz w:val="16"/>
          <w:szCs w:val="16"/>
          <w:u w:val="single"/>
          <w:shd w:val="clear" w:color="auto" w:fill="FAFAFA"/>
        </w:rPr>
        <w:t>In:</w:t>
      </w:r>
      <w:r w:rsidRPr="00F17AD5">
        <w:rPr>
          <w:rFonts w:cs="Arial"/>
          <w:sz w:val="16"/>
          <w:szCs w:val="16"/>
          <w:shd w:val="clear" w:color="auto" w:fill="FAFAFA"/>
        </w:rPr>
        <w:t xml:space="preserve"> Victorian Women’s Health Atlas [Website]</w:t>
      </w:r>
      <w:r>
        <w:rPr>
          <w:rFonts w:cs="Arial"/>
          <w:sz w:val="16"/>
          <w:szCs w:val="16"/>
          <w:shd w:val="clear" w:color="auto" w:fill="FAFAFA"/>
        </w:rPr>
        <w:t>.</w:t>
      </w:r>
      <w:r w:rsidRPr="00F17AD5">
        <w:rPr>
          <w:rFonts w:cs="Arial"/>
          <w:sz w:val="16"/>
          <w:szCs w:val="16"/>
          <w:shd w:val="clear" w:color="auto" w:fill="FAFAFA"/>
        </w:rPr>
        <w:t xml:space="preserve"> Women’s Health Victoria, Melbourne.</w:t>
      </w:r>
      <w:r>
        <w:rPr>
          <w:rFonts w:cs="Arial"/>
          <w:sz w:val="16"/>
          <w:szCs w:val="16"/>
          <w:shd w:val="clear" w:color="auto" w:fill="FAFAFA"/>
        </w:rPr>
        <w:t xml:space="preserve"> Available at: </w:t>
      </w:r>
      <w:hyperlink r:id="rId18" w:anchor="!/atlas/Mental%20Health/MH/Self-Harm/MH_06/2018%20Rate%20(per%201,000)/265/F/state/all/false" w:history="1">
        <w:r w:rsidRPr="0025368D">
          <w:rPr>
            <w:rStyle w:val="Hyperlink"/>
            <w:rFonts w:cs="Arial"/>
            <w:sz w:val="16"/>
            <w:szCs w:val="16"/>
            <w:shd w:val="clear" w:color="auto" w:fill="FAFAFA"/>
          </w:rPr>
          <w:t>URL</w:t>
        </w:r>
      </w:hyperlink>
    </w:p>
  </w:footnote>
  <w:footnote w:id="21">
    <w:p w14:paraId="2A120F3F" w14:textId="4A0E6892" w:rsidR="00B208C1" w:rsidRPr="00DA39D7" w:rsidRDefault="00B208C1" w:rsidP="001E1BCB">
      <w:pPr>
        <w:pStyle w:val="EndnoteText"/>
        <w:tabs>
          <w:tab w:val="left" w:pos="255"/>
        </w:tabs>
        <w:spacing w:after="40"/>
        <w:ind w:left="255" w:hanging="255"/>
        <w:jc w:val="both"/>
        <w:rPr>
          <w:rFonts w:ascii="Arial" w:hAnsi="Arial" w:cs="Arial"/>
          <w:sz w:val="16"/>
          <w:szCs w:val="16"/>
        </w:rPr>
      </w:pPr>
      <w:r w:rsidRPr="00A74AD1">
        <w:rPr>
          <w:rStyle w:val="FootnoteReference"/>
          <w:rFonts w:ascii="Arial" w:hAnsi="Arial" w:cs="Arial"/>
          <w:sz w:val="18"/>
          <w:szCs w:val="18"/>
        </w:rPr>
        <w:footnoteRef/>
      </w:r>
      <w:r w:rsidRPr="00F17AD5">
        <w:rPr>
          <w:rFonts w:ascii="Arial" w:hAnsi="Arial" w:cs="Arial"/>
          <w:sz w:val="16"/>
          <w:szCs w:val="16"/>
        </w:rPr>
        <w:t xml:space="preserve"> </w:t>
      </w:r>
      <w:r>
        <w:rPr>
          <w:rFonts w:ascii="Arial" w:hAnsi="Arial" w:cs="Arial"/>
          <w:sz w:val="16"/>
          <w:szCs w:val="16"/>
        </w:rPr>
        <w:tab/>
      </w:r>
      <w:hyperlink r:id="rId19" w:history="1">
        <w:r w:rsidRPr="00DA39D7">
          <w:rPr>
            <w:rFonts w:ascii="Arial" w:hAnsi="Arial" w:cs="Arial"/>
            <w:sz w:val="16"/>
            <w:szCs w:val="16"/>
          </w:rPr>
          <w:t xml:space="preserve">VicHealth (2020) Coronavirus Victorian Wellbeing Impact Study: </w:t>
        </w:r>
        <w:r>
          <w:rPr>
            <w:rFonts w:ascii="Arial" w:hAnsi="Arial" w:cs="Arial"/>
            <w:sz w:val="16"/>
            <w:szCs w:val="16"/>
          </w:rPr>
          <w:t>r</w:t>
        </w:r>
        <w:r w:rsidRPr="00DA39D7">
          <w:rPr>
            <w:rFonts w:ascii="Arial" w:hAnsi="Arial" w:cs="Arial"/>
            <w:sz w:val="16"/>
            <w:szCs w:val="16"/>
          </w:rPr>
          <w:t>eport for survey 1</w:t>
        </w:r>
        <w:r>
          <w:rPr>
            <w:rFonts w:ascii="Arial" w:hAnsi="Arial" w:cs="Arial"/>
            <w:sz w:val="16"/>
            <w:szCs w:val="16"/>
          </w:rPr>
          <w:t xml:space="preserve">. </w:t>
        </w:r>
        <w:r w:rsidRPr="00DA39D7">
          <w:rPr>
            <w:rFonts w:ascii="Arial" w:hAnsi="Arial" w:cs="Arial"/>
            <w:sz w:val="16"/>
            <w:szCs w:val="16"/>
          </w:rPr>
          <w:t>Victorian Health Promotion Foundation</w:t>
        </w:r>
        <w:r>
          <w:rPr>
            <w:rFonts w:ascii="Arial" w:hAnsi="Arial" w:cs="Arial"/>
            <w:sz w:val="16"/>
            <w:szCs w:val="16"/>
          </w:rPr>
          <w:t xml:space="preserve">, </w:t>
        </w:r>
        <w:r w:rsidRPr="00DA39D7">
          <w:rPr>
            <w:rFonts w:ascii="Arial" w:hAnsi="Arial" w:cs="Arial"/>
            <w:sz w:val="16"/>
            <w:szCs w:val="16"/>
          </w:rPr>
          <w:t>Melbourne.</w:t>
        </w:r>
      </w:hyperlink>
      <w:r>
        <w:rPr>
          <w:rFonts w:ascii="Arial" w:hAnsi="Arial" w:cs="Arial"/>
          <w:sz w:val="16"/>
          <w:szCs w:val="16"/>
        </w:rPr>
        <w:t xml:space="preserve"> Available from: </w:t>
      </w:r>
      <w:hyperlink r:id="rId20" w:history="1">
        <w:r w:rsidRPr="00DA39D7">
          <w:rPr>
            <w:rStyle w:val="Hyperlink"/>
            <w:rFonts w:ascii="Arial" w:hAnsi="Arial" w:cs="Arial"/>
            <w:sz w:val="16"/>
            <w:szCs w:val="16"/>
          </w:rPr>
          <w:t>URL</w:t>
        </w:r>
      </w:hyperlink>
    </w:p>
  </w:footnote>
  <w:footnote w:id="22">
    <w:p w14:paraId="11DF9E1C" w14:textId="4D524127" w:rsidR="00B208C1" w:rsidRPr="00A74AD1" w:rsidRDefault="00B208C1" w:rsidP="001E1BCB">
      <w:pPr>
        <w:pStyle w:val="EndnoteText"/>
        <w:tabs>
          <w:tab w:val="left" w:pos="255"/>
        </w:tabs>
        <w:spacing w:after="40"/>
        <w:ind w:left="255" w:hanging="255"/>
        <w:jc w:val="both"/>
        <w:rPr>
          <w:rFonts w:ascii="Arial" w:hAnsi="Arial" w:cs="Arial"/>
          <w:sz w:val="16"/>
          <w:szCs w:val="16"/>
        </w:rPr>
      </w:pPr>
      <w:r w:rsidRPr="00A74AD1">
        <w:rPr>
          <w:rStyle w:val="FootnoteReference"/>
          <w:rFonts w:ascii="Arial" w:hAnsi="Arial" w:cs="Arial"/>
          <w:sz w:val="18"/>
          <w:szCs w:val="18"/>
        </w:rPr>
        <w:footnoteRef/>
      </w:r>
      <w:r w:rsidRPr="00F17AD5">
        <w:rPr>
          <w:rFonts w:ascii="Arial" w:hAnsi="Arial" w:cs="Arial"/>
          <w:sz w:val="16"/>
          <w:szCs w:val="16"/>
        </w:rPr>
        <w:t xml:space="preserve"> </w:t>
      </w:r>
      <w:r>
        <w:rPr>
          <w:rFonts w:ascii="Arial" w:hAnsi="Arial" w:cs="Arial"/>
          <w:sz w:val="16"/>
          <w:szCs w:val="16"/>
        </w:rPr>
        <w:tab/>
      </w:r>
      <w:r w:rsidRPr="00A74AD1">
        <w:rPr>
          <w:rFonts w:ascii="Arial" w:hAnsi="Arial" w:cs="Arial"/>
          <w:sz w:val="16"/>
          <w:szCs w:val="16"/>
        </w:rPr>
        <w:t>Kabatek J (2020) Jobless and distressed: the disproportionate effects of COVID-19 on young Australians.</w:t>
      </w:r>
      <w:r>
        <w:rPr>
          <w:rFonts w:ascii="Arial" w:hAnsi="Arial" w:cs="Arial"/>
          <w:sz w:val="16"/>
          <w:szCs w:val="16"/>
        </w:rPr>
        <w:t xml:space="preserve"> Melbourne Institute, Parkville, Vic. – (</w:t>
      </w:r>
      <w:r w:rsidRPr="006765F7">
        <w:rPr>
          <w:rFonts w:ascii="Arial" w:hAnsi="Arial" w:cs="Arial"/>
          <w:i/>
          <w:iCs/>
          <w:sz w:val="16"/>
          <w:szCs w:val="16"/>
        </w:rPr>
        <w:t>Research Insights</w:t>
      </w:r>
      <w:r>
        <w:rPr>
          <w:rFonts w:ascii="Arial" w:hAnsi="Arial" w:cs="Arial"/>
          <w:sz w:val="16"/>
          <w:szCs w:val="16"/>
        </w:rPr>
        <w:t>; 26/20)</w:t>
      </w:r>
      <w:r w:rsidRPr="00A74AD1">
        <w:rPr>
          <w:rFonts w:ascii="Arial" w:hAnsi="Arial" w:cs="Arial"/>
          <w:sz w:val="16"/>
          <w:szCs w:val="16"/>
        </w:rPr>
        <w:t xml:space="preserve">. Available from: </w:t>
      </w:r>
      <w:hyperlink r:id="rId21" w:history="1">
        <w:r w:rsidRPr="00A74AD1">
          <w:rPr>
            <w:rStyle w:val="Hyperlink"/>
            <w:rFonts w:ascii="Arial" w:hAnsi="Arial" w:cs="Arial"/>
            <w:sz w:val="16"/>
            <w:szCs w:val="16"/>
          </w:rPr>
          <w:t>URL</w:t>
        </w:r>
      </w:hyperlink>
    </w:p>
  </w:footnote>
  <w:footnote w:id="23">
    <w:p w14:paraId="2B9617E0" w14:textId="77777777" w:rsidR="00B208C1" w:rsidRPr="00F17AD5" w:rsidRDefault="00B208C1" w:rsidP="00B3212C">
      <w:pPr>
        <w:pStyle w:val="FootnoteText"/>
        <w:tabs>
          <w:tab w:val="left" w:pos="255"/>
        </w:tabs>
        <w:spacing w:after="40"/>
        <w:ind w:left="255" w:hanging="255"/>
        <w:jc w:val="both"/>
        <w:rPr>
          <w:rFonts w:cs="Arial"/>
          <w:sz w:val="16"/>
          <w:szCs w:val="16"/>
        </w:rPr>
      </w:pPr>
      <w:r w:rsidRPr="005D0793">
        <w:rPr>
          <w:rStyle w:val="FootnoteReference"/>
          <w:rFonts w:cs="Arial"/>
          <w:sz w:val="18"/>
          <w:szCs w:val="18"/>
        </w:rPr>
        <w:footnoteRef/>
      </w:r>
      <w:r w:rsidRPr="005D0793">
        <w:rPr>
          <w:rFonts w:cs="Arial"/>
          <w:sz w:val="18"/>
          <w:szCs w:val="18"/>
        </w:rPr>
        <w:t xml:space="preserve"> </w:t>
      </w:r>
      <w:r>
        <w:rPr>
          <w:rFonts w:cs="Arial"/>
          <w:sz w:val="16"/>
          <w:szCs w:val="16"/>
        </w:rPr>
        <w:tab/>
      </w:r>
      <w:proofErr w:type="spellStart"/>
      <w:r w:rsidRPr="00F17AD5">
        <w:rPr>
          <w:rFonts w:cs="Arial"/>
          <w:sz w:val="16"/>
          <w:szCs w:val="16"/>
        </w:rPr>
        <w:t>Kabatek</w:t>
      </w:r>
      <w:proofErr w:type="spellEnd"/>
      <w:r w:rsidRPr="00F17AD5">
        <w:rPr>
          <w:rFonts w:cs="Arial"/>
          <w:sz w:val="16"/>
          <w:szCs w:val="16"/>
        </w:rPr>
        <w:t xml:space="preserve"> J (2020) </w:t>
      </w:r>
      <w:r w:rsidRPr="007264F7">
        <w:rPr>
          <w:rFonts w:cs="Arial"/>
          <w:sz w:val="16"/>
          <w:szCs w:val="16"/>
        </w:rPr>
        <w:t>5 charts on how COVID-19 is hitting Australia’s young adults hard</w:t>
      </w:r>
      <w:r>
        <w:rPr>
          <w:rFonts w:cs="Arial"/>
          <w:sz w:val="16"/>
          <w:szCs w:val="16"/>
        </w:rPr>
        <w:t>.</w:t>
      </w:r>
      <w:r w:rsidRPr="00F17AD5">
        <w:rPr>
          <w:rFonts w:cs="Arial"/>
          <w:sz w:val="16"/>
          <w:szCs w:val="16"/>
        </w:rPr>
        <w:t xml:space="preserve"> </w:t>
      </w:r>
      <w:r w:rsidRPr="007264F7">
        <w:rPr>
          <w:rFonts w:cs="Arial"/>
          <w:i/>
          <w:iCs/>
          <w:sz w:val="16"/>
          <w:szCs w:val="16"/>
        </w:rPr>
        <w:t>The Conversation</w:t>
      </w:r>
      <w:r w:rsidRPr="00F17AD5">
        <w:rPr>
          <w:rFonts w:cs="Arial"/>
          <w:sz w:val="16"/>
          <w:szCs w:val="16"/>
        </w:rPr>
        <w:t xml:space="preserve"> </w:t>
      </w:r>
      <w:r>
        <w:rPr>
          <w:rFonts w:cs="Arial"/>
          <w:sz w:val="16"/>
          <w:szCs w:val="16"/>
        </w:rPr>
        <w:t>(Oct 2)</w:t>
      </w:r>
      <w:r w:rsidRPr="00F17AD5">
        <w:rPr>
          <w:rFonts w:cs="Arial"/>
          <w:sz w:val="16"/>
          <w:szCs w:val="16"/>
        </w:rPr>
        <w:t>.</w:t>
      </w:r>
      <w:r>
        <w:rPr>
          <w:rFonts w:cs="Arial"/>
          <w:sz w:val="16"/>
          <w:szCs w:val="16"/>
        </w:rPr>
        <w:t xml:space="preserve"> Available from: </w:t>
      </w:r>
      <w:hyperlink r:id="rId22" w:history="1">
        <w:r w:rsidRPr="007264F7">
          <w:rPr>
            <w:rStyle w:val="Hyperlink"/>
            <w:rFonts w:cs="Arial"/>
            <w:sz w:val="16"/>
            <w:szCs w:val="16"/>
          </w:rPr>
          <w:t>URL</w:t>
        </w:r>
      </w:hyperlink>
    </w:p>
  </w:footnote>
  <w:footnote w:id="24">
    <w:p w14:paraId="4AC150D1" w14:textId="62CEC800" w:rsidR="00B208C1" w:rsidRPr="00F17AD5" w:rsidRDefault="00B208C1" w:rsidP="001E1BCB">
      <w:pPr>
        <w:pStyle w:val="FootnoteText"/>
        <w:tabs>
          <w:tab w:val="left" w:pos="255"/>
          <w:tab w:val="left" w:pos="288"/>
        </w:tabs>
        <w:spacing w:after="40"/>
        <w:ind w:left="255" w:hanging="255"/>
        <w:jc w:val="both"/>
        <w:rPr>
          <w:rFonts w:cs="Arial"/>
          <w:sz w:val="16"/>
          <w:szCs w:val="16"/>
        </w:rPr>
      </w:pPr>
      <w:r w:rsidRPr="00A74AD1">
        <w:rPr>
          <w:rStyle w:val="FootnoteReference"/>
          <w:rFonts w:cs="Arial"/>
          <w:sz w:val="18"/>
          <w:szCs w:val="18"/>
        </w:rPr>
        <w:footnoteRef/>
      </w:r>
      <w:r w:rsidRPr="00F17AD5">
        <w:rPr>
          <w:rFonts w:cs="Arial"/>
          <w:sz w:val="16"/>
          <w:szCs w:val="16"/>
        </w:rPr>
        <w:t xml:space="preserve"> </w:t>
      </w:r>
      <w:r>
        <w:rPr>
          <w:rFonts w:cs="Arial"/>
          <w:sz w:val="16"/>
          <w:szCs w:val="16"/>
        </w:rPr>
        <w:tab/>
      </w:r>
      <w:r w:rsidRPr="00DA39D7">
        <w:rPr>
          <w:rFonts w:cs="Arial"/>
          <w:sz w:val="16"/>
          <w:szCs w:val="16"/>
        </w:rPr>
        <w:fldChar w:fldCharType="begin"/>
      </w:r>
      <w:r w:rsidRPr="00DA39D7">
        <w:rPr>
          <w:rFonts w:cs="Arial"/>
          <w:sz w:val="16"/>
          <w:szCs w:val="16"/>
        </w:rPr>
        <w:instrText xml:space="preserve"> ADDIN EN.CITE &lt;EndNote&gt;&lt;Cite&gt;&lt;Author&gt;Rowlands&lt;/Author&gt;&lt;Year&gt;2015&lt;/Year&gt;&lt;RecNum&gt;662&lt;/RecNum&gt;&lt;DisplayText&gt;Rowlands, Dobson and Mishra (2015) Physical health of young, Australian women : a  comparison of two national cohorts surveyed 17 years apart. &lt;style face="italic"&gt;PLOS One&lt;/style&gt;. 10 (11 - e0142088):1-12&lt;/DisplayText&gt;&lt;record&gt;&lt;rec-number&gt;662&lt;/rec-number&gt;&lt;foreign-keys&gt;&lt;key app="EN" db-id="ssa09sw2ttazvjex2225xtt350ewfx2vadfs"&gt;662&lt;/key&gt;&lt;/foreign-keys&gt;&lt;ref-type name="Journal Article"&gt;17&lt;/ref-type&gt;&lt;contributors&gt;&lt;authors&gt;&lt;author&gt;Rowlands, Ingrid J&lt;/author&gt;&lt;author&gt;Dobson, Annette J&lt;/author&gt;&lt;author&gt;Mishra, Gita D&lt;/author&gt;&lt;/authors&gt;&lt;/contributors&gt;&lt;titles&gt;&lt;title&gt;Physical health of young, Australian women : a  comparison of two national cohorts surveyed 17 years apart&lt;/title&gt;&lt;secondary-title&gt;PLOS One&lt;/secondary-title&gt;&lt;/titles&gt;&lt;periodical&gt;&lt;full-title&gt;PLOS One&lt;/full-title&gt;&lt;/periodical&gt;&lt;pages&gt;1-12&lt;/pages&gt;&lt;volume&gt;10&lt;/volume&gt;&lt;number&gt;11 - e0142088&lt;/number&gt;&lt;dates&gt;&lt;year&gt;2015&lt;/year&gt;&lt;/dates&gt;&lt;urls&gt;&lt;related-urls&gt;&lt;url&gt;http://journals.plos.org/plosone/article?id=10.1371/journal.pone.0142088&lt;/url&gt;&lt;/related-urls&gt;&lt;/urls&gt;&lt;electronic-resource-num&gt;10.1371/journal.pone.0142088&lt;/electronic-resource-num&gt;&lt;/record&gt;&lt;/Cite&gt;&lt;/EndNote&gt;</w:instrText>
      </w:r>
      <w:r w:rsidRPr="00DA39D7">
        <w:rPr>
          <w:rFonts w:cs="Arial"/>
          <w:sz w:val="16"/>
          <w:szCs w:val="16"/>
        </w:rPr>
        <w:fldChar w:fldCharType="separate"/>
      </w:r>
      <w:r w:rsidRPr="00DA39D7">
        <w:rPr>
          <w:rFonts w:cs="Arial"/>
          <w:noProof/>
          <w:sz w:val="16"/>
          <w:szCs w:val="16"/>
        </w:rPr>
        <w:t xml:space="preserve">Rowlands IJ, Dobson AJ, Mishra GD (2015) Physical health of young, Australian women : a  comparison of two national cohorts surveyed 17 years apart. </w:t>
      </w:r>
      <w:r w:rsidRPr="00DA39D7">
        <w:rPr>
          <w:sz w:val="16"/>
          <w:szCs w:val="16"/>
        </w:rPr>
        <w:t>PLoS One 10(11): e0142088</w:t>
      </w:r>
      <w:r w:rsidRPr="00DA39D7">
        <w:rPr>
          <w:rFonts w:cs="Arial"/>
          <w:noProof/>
          <w:sz w:val="16"/>
          <w:szCs w:val="16"/>
        </w:rPr>
        <w:t>: 1-12</w:t>
      </w:r>
      <w:r w:rsidRPr="00DA39D7">
        <w:rPr>
          <w:rFonts w:cs="Arial"/>
          <w:sz w:val="16"/>
          <w:szCs w:val="16"/>
        </w:rPr>
        <w:fldChar w:fldCharType="end"/>
      </w:r>
      <w:r w:rsidRPr="00F17AD5">
        <w:rPr>
          <w:rFonts w:cs="Arial"/>
          <w:sz w:val="16"/>
          <w:szCs w:val="16"/>
        </w:rPr>
        <w:t xml:space="preserve">. Available from: </w:t>
      </w:r>
      <w:hyperlink r:id="rId23" w:history="1">
        <w:r>
          <w:rPr>
            <w:rStyle w:val="Hyperlink"/>
            <w:rFonts w:cs="Arial"/>
            <w:sz w:val="16"/>
            <w:szCs w:val="16"/>
          </w:rPr>
          <w:t>URL</w:t>
        </w:r>
      </w:hyperlink>
    </w:p>
  </w:footnote>
  <w:footnote w:id="25">
    <w:p w14:paraId="7546480D" w14:textId="1E601845" w:rsidR="00B208C1" w:rsidRPr="00F17AD5" w:rsidRDefault="00B208C1" w:rsidP="001E1BCB">
      <w:pPr>
        <w:pStyle w:val="FootnoteText"/>
        <w:tabs>
          <w:tab w:val="left" w:pos="255"/>
        </w:tabs>
        <w:spacing w:after="40"/>
        <w:ind w:left="255" w:hanging="255"/>
        <w:jc w:val="both"/>
        <w:rPr>
          <w:rFonts w:cs="Arial"/>
          <w:sz w:val="16"/>
          <w:szCs w:val="16"/>
        </w:rPr>
      </w:pPr>
      <w:r w:rsidRPr="00A74AD1">
        <w:rPr>
          <w:rStyle w:val="FootnoteReference"/>
          <w:rFonts w:cs="Arial"/>
          <w:sz w:val="18"/>
          <w:szCs w:val="18"/>
        </w:rPr>
        <w:footnoteRef/>
      </w:r>
      <w:r w:rsidRPr="00A74AD1">
        <w:rPr>
          <w:rFonts w:cs="Arial"/>
          <w:sz w:val="18"/>
          <w:szCs w:val="18"/>
        </w:rPr>
        <w:t xml:space="preserve"> </w:t>
      </w:r>
      <w:r>
        <w:rPr>
          <w:rFonts w:cs="Arial"/>
          <w:sz w:val="16"/>
          <w:szCs w:val="16"/>
        </w:rPr>
        <w:tab/>
      </w:r>
      <w:r w:rsidRPr="00F17AD5">
        <w:rPr>
          <w:rFonts w:cs="Arial"/>
          <w:sz w:val="16"/>
          <w:szCs w:val="16"/>
        </w:rPr>
        <w:t xml:space="preserve">Tiller E, Fildes J, Hall S, Hicking V, Greenland N, Liyanarachchi D, </w:t>
      </w:r>
      <w:r>
        <w:rPr>
          <w:rFonts w:cs="Arial"/>
          <w:sz w:val="16"/>
          <w:szCs w:val="16"/>
        </w:rPr>
        <w:t>et al. (2020)</w:t>
      </w:r>
      <w:r w:rsidRPr="003061B9">
        <w:rPr>
          <w:rFonts w:cs="Arial"/>
          <w:sz w:val="16"/>
          <w:szCs w:val="16"/>
        </w:rPr>
        <w:t xml:space="preserve"> Youth Survey Report 2020</w:t>
      </w:r>
      <w:r>
        <w:rPr>
          <w:rFonts w:cs="Arial"/>
          <w:sz w:val="16"/>
          <w:szCs w:val="16"/>
        </w:rPr>
        <w:t xml:space="preserve">. Mission Australia. Sydney. Available from: </w:t>
      </w:r>
      <w:hyperlink r:id="rId24" w:history="1">
        <w:r w:rsidRPr="003061B9">
          <w:rPr>
            <w:rStyle w:val="Hyperlink"/>
            <w:rFonts w:cs="Arial"/>
            <w:sz w:val="16"/>
            <w:szCs w:val="16"/>
          </w:rPr>
          <w:t>URL</w:t>
        </w:r>
      </w:hyperlink>
    </w:p>
  </w:footnote>
  <w:footnote w:id="26">
    <w:p w14:paraId="24470AAB" w14:textId="37BD5BCA" w:rsidR="00B208C1" w:rsidRPr="00F17AD5" w:rsidRDefault="00B208C1" w:rsidP="00244F71">
      <w:pPr>
        <w:pStyle w:val="FootnoteText"/>
        <w:tabs>
          <w:tab w:val="left" w:pos="255"/>
        </w:tabs>
        <w:spacing w:after="40"/>
        <w:ind w:left="255" w:hanging="255"/>
        <w:jc w:val="both"/>
        <w:rPr>
          <w:rFonts w:cs="Arial"/>
          <w:sz w:val="16"/>
          <w:szCs w:val="16"/>
        </w:rPr>
      </w:pPr>
      <w:r w:rsidRPr="005D0793">
        <w:rPr>
          <w:rStyle w:val="FootnoteReference"/>
          <w:rFonts w:cs="Arial"/>
          <w:sz w:val="18"/>
          <w:szCs w:val="18"/>
        </w:rPr>
        <w:footnoteRef/>
      </w:r>
      <w:r w:rsidRPr="00F17AD5">
        <w:rPr>
          <w:rFonts w:cs="Arial"/>
          <w:sz w:val="16"/>
          <w:szCs w:val="16"/>
        </w:rPr>
        <w:t xml:space="preserve"> </w:t>
      </w:r>
      <w:r>
        <w:rPr>
          <w:rFonts w:cs="Arial"/>
          <w:sz w:val="16"/>
          <w:szCs w:val="16"/>
        </w:rPr>
        <w:tab/>
      </w:r>
      <w:r w:rsidRPr="00F17AD5">
        <w:rPr>
          <w:rFonts w:cs="Arial"/>
          <w:sz w:val="16"/>
          <w:szCs w:val="16"/>
        </w:rPr>
        <w:t>Hall S, Fildes J, Perrens B, Plummer J, Carlisle E, Cockayne N</w:t>
      </w:r>
      <w:r>
        <w:rPr>
          <w:rFonts w:cs="Arial"/>
          <w:sz w:val="16"/>
          <w:szCs w:val="16"/>
        </w:rPr>
        <w:t xml:space="preserve">, et al. </w:t>
      </w:r>
      <w:r w:rsidRPr="00F17AD5">
        <w:rPr>
          <w:rFonts w:cs="Arial"/>
          <w:sz w:val="16"/>
          <w:szCs w:val="16"/>
        </w:rPr>
        <w:t xml:space="preserve">(2019) </w:t>
      </w:r>
      <w:r w:rsidRPr="003061B9">
        <w:rPr>
          <w:rFonts w:cs="Arial"/>
          <w:sz w:val="16"/>
          <w:szCs w:val="16"/>
        </w:rPr>
        <w:t xml:space="preserve">Can we </w:t>
      </w:r>
      <w:r>
        <w:rPr>
          <w:rFonts w:cs="Arial"/>
          <w:sz w:val="16"/>
          <w:szCs w:val="16"/>
        </w:rPr>
        <w:t>t</w:t>
      </w:r>
      <w:r w:rsidRPr="003061B9">
        <w:rPr>
          <w:rFonts w:cs="Arial"/>
          <w:sz w:val="16"/>
          <w:szCs w:val="16"/>
        </w:rPr>
        <w:t>alk?</w:t>
      </w:r>
      <w:r>
        <w:rPr>
          <w:rFonts w:cs="Arial"/>
          <w:sz w:val="16"/>
          <w:szCs w:val="16"/>
        </w:rPr>
        <w:t>:</w:t>
      </w:r>
      <w:r w:rsidRPr="003061B9">
        <w:rPr>
          <w:rFonts w:cs="Arial"/>
          <w:sz w:val="16"/>
          <w:szCs w:val="16"/>
        </w:rPr>
        <w:t xml:space="preserve"> </w:t>
      </w:r>
      <w:r>
        <w:rPr>
          <w:rFonts w:cs="Arial"/>
          <w:sz w:val="16"/>
          <w:szCs w:val="16"/>
        </w:rPr>
        <w:t>s</w:t>
      </w:r>
      <w:r w:rsidRPr="003061B9">
        <w:rPr>
          <w:rFonts w:cs="Arial"/>
          <w:sz w:val="16"/>
          <w:szCs w:val="16"/>
        </w:rPr>
        <w:t xml:space="preserve">even </w:t>
      </w:r>
      <w:r>
        <w:rPr>
          <w:rFonts w:cs="Arial"/>
          <w:sz w:val="16"/>
          <w:szCs w:val="16"/>
        </w:rPr>
        <w:t>y</w:t>
      </w:r>
      <w:r w:rsidRPr="003061B9">
        <w:rPr>
          <w:rFonts w:cs="Arial"/>
          <w:sz w:val="16"/>
          <w:szCs w:val="16"/>
        </w:rPr>
        <w:t xml:space="preserve">ear </w:t>
      </w:r>
      <w:r>
        <w:rPr>
          <w:rFonts w:cs="Arial"/>
          <w:sz w:val="16"/>
          <w:szCs w:val="16"/>
        </w:rPr>
        <w:t>y</w:t>
      </w:r>
      <w:r w:rsidRPr="003061B9">
        <w:rPr>
          <w:rFonts w:cs="Arial"/>
          <w:sz w:val="16"/>
          <w:szCs w:val="16"/>
        </w:rPr>
        <w:t xml:space="preserve">outh </w:t>
      </w:r>
      <w:r>
        <w:rPr>
          <w:rFonts w:cs="Arial"/>
          <w:sz w:val="16"/>
          <w:szCs w:val="16"/>
        </w:rPr>
        <w:t>m</w:t>
      </w:r>
      <w:r w:rsidRPr="003061B9">
        <w:rPr>
          <w:rFonts w:cs="Arial"/>
          <w:sz w:val="16"/>
          <w:szCs w:val="16"/>
        </w:rPr>
        <w:t xml:space="preserve">ental </w:t>
      </w:r>
      <w:r>
        <w:rPr>
          <w:rFonts w:cs="Arial"/>
          <w:sz w:val="16"/>
          <w:szCs w:val="16"/>
        </w:rPr>
        <w:t>h</w:t>
      </w:r>
      <w:r w:rsidRPr="003061B9">
        <w:rPr>
          <w:rFonts w:cs="Arial"/>
          <w:sz w:val="16"/>
          <w:szCs w:val="16"/>
        </w:rPr>
        <w:t xml:space="preserve">ealth </w:t>
      </w:r>
      <w:r>
        <w:rPr>
          <w:rFonts w:cs="Arial"/>
          <w:sz w:val="16"/>
          <w:szCs w:val="16"/>
        </w:rPr>
        <w:t>r</w:t>
      </w:r>
      <w:r w:rsidRPr="003061B9">
        <w:rPr>
          <w:rFonts w:cs="Arial"/>
          <w:sz w:val="16"/>
          <w:szCs w:val="16"/>
        </w:rPr>
        <w:t>eport</w:t>
      </w:r>
      <w:r>
        <w:rPr>
          <w:rFonts w:cs="Arial"/>
          <w:sz w:val="16"/>
          <w:szCs w:val="16"/>
        </w:rPr>
        <w:t xml:space="preserve">: </w:t>
      </w:r>
      <w:r w:rsidRPr="003061B9">
        <w:rPr>
          <w:rFonts w:cs="Arial"/>
          <w:sz w:val="16"/>
          <w:szCs w:val="16"/>
        </w:rPr>
        <w:t>2012-2018</w:t>
      </w:r>
      <w:r w:rsidRPr="00F17AD5">
        <w:rPr>
          <w:rFonts w:cs="Arial"/>
          <w:sz w:val="16"/>
          <w:szCs w:val="16"/>
        </w:rPr>
        <w:t>. Mission Australia</w:t>
      </w:r>
      <w:r>
        <w:rPr>
          <w:rFonts w:cs="Arial"/>
          <w:sz w:val="16"/>
          <w:szCs w:val="16"/>
        </w:rPr>
        <w:t xml:space="preserve">, Sydney. Available from: </w:t>
      </w:r>
      <w:hyperlink r:id="rId25" w:history="1">
        <w:r w:rsidRPr="003061B9">
          <w:rPr>
            <w:rStyle w:val="Hyperlink"/>
            <w:rFonts w:cs="Arial"/>
            <w:sz w:val="16"/>
            <w:szCs w:val="16"/>
          </w:rPr>
          <w:t>URL</w:t>
        </w:r>
      </w:hyperlink>
    </w:p>
  </w:footnote>
  <w:footnote w:id="27">
    <w:p w14:paraId="0EB2A76D" w14:textId="1E469995" w:rsidR="00B208C1" w:rsidRPr="00F17AD5" w:rsidRDefault="00B208C1" w:rsidP="00244F71">
      <w:pPr>
        <w:pStyle w:val="FootnoteText"/>
        <w:tabs>
          <w:tab w:val="left" w:pos="255"/>
          <w:tab w:val="left" w:pos="1843"/>
        </w:tabs>
        <w:spacing w:after="40"/>
        <w:ind w:left="255" w:hanging="255"/>
        <w:jc w:val="both"/>
        <w:rPr>
          <w:rFonts w:cs="Arial"/>
          <w:sz w:val="16"/>
          <w:szCs w:val="16"/>
        </w:rPr>
      </w:pPr>
      <w:r w:rsidRPr="005D0793">
        <w:rPr>
          <w:rStyle w:val="FootnoteReference"/>
          <w:rFonts w:cs="Arial"/>
          <w:sz w:val="18"/>
          <w:szCs w:val="18"/>
        </w:rPr>
        <w:footnoteRef/>
      </w:r>
      <w:r w:rsidRPr="00F17AD5">
        <w:rPr>
          <w:rFonts w:cs="Arial"/>
          <w:sz w:val="16"/>
          <w:szCs w:val="16"/>
        </w:rPr>
        <w:t xml:space="preserve"> </w:t>
      </w:r>
      <w:r>
        <w:rPr>
          <w:rFonts w:cs="Arial"/>
          <w:sz w:val="16"/>
          <w:szCs w:val="16"/>
        </w:rPr>
        <w:tab/>
      </w:r>
      <w:r w:rsidRPr="00F17AD5">
        <w:rPr>
          <w:rFonts w:cs="Arial"/>
          <w:sz w:val="16"/>
          <w:szCs w:val="16"/>
        </w:rPr>
        <w:t xml:space="preserve">Duggan M (2016) </w:t>
      </w:r>
      <w:r w:rsidRPr="007264F7">
        <w:rPr>
          <w:rFonts w:cs="Arial"/>
          <w:sz w:val="16"/>
          <w:szCs w:val="16"/>
        </w:rPr>
        <w:t>Investing in women’s mental health: strengthening the foundations for women, families and the Australian economy</w:t>
      </w:r>
      <w:r>
        <w:rPr>
          <w:rFonts w:cs="Arial"/>
          <w:sz w:val="16"/>
          <w:szCs w:val="16"/>
        </w:rPr>
        <w:t>.</w:t>
      </w:r>
      <w:r w:rsidRPr="00F17AD5">
        <w:rPr>
          <w:rFonts w:cs="Arial"/>
          <w:sz w:val="16"/>
          <w:szCs w:val="16"/>
        </w:rPr>
        <w:t xml:space="preserve"> Australian Health Policy Collaboration</w:t>
      </w:r>
      <w:r>
        <w:rPr>
          <w:rFonts w:cs="Arial"/>
          <w:sz w:val="16"/>
          <w:szCs w:val="16"/>
        </w:rPr>
        <w:t>,</w:t>
      </w:r>
      <w:r w:rsidRPr="00F17AD5">
        <w:rPr>
          <w:rFonts w:cs="Arial"/>
          <w:sz w:val="16"/>
          <w:szCs w:val="16"/>
        </w:rPr>
        <w:t xml:space="preserve"> Melbourne – (</w:t>
      </w:r>
      <w:r w:rsidRPr="00F17AD5">
        <w:rPr>
          <w:rFonts w:cs="Arial"/>
          <w:i/>
          <w:iCs/>
          <w:sz w:val="16"/>
          <w:szCs w:val="16"/>
        </w:rPr>
        <w:t>AHPC Issues Paper</w:t>
      </w:r>
      <w:r w:rsidRPr="00F17AD5">
        <w:rPr>
          <w:rFonts w:cs="Arial"/>
          <w:sz w:val="16"/>
          <w:szCs w:val="16"/>
        </w:rPr>
        <w:t>; 2016-02).</w:t>
      </w:r>
      <w:r>
        <w:rPr>
          <w:rFonts w:cs="Arial"/>
          <w:sz w:val="16"/>
          <w:szCs w:val="16"/>
        </w:rPr>
        <w:t xml:space="preserve"> Available from: </w:t>
      </w:r>
      <w:hyperlink r:id="rId26" w:history="1">
        <w:r w:rsidRPr="007264F7">
          <w:rPr>
            <w:rStyle w:val="Hyperlink"/>
            <w:rFonts w:cs="Arial"/>
            <w:sz w:val="16"/>
            <w:szCs w:val="16"/>
          </w:rPr>
          <w:t>URL</w:t>
        </w:r>
      </w:hyperlink>
    </w:p>
  </w:footnote>
  <w:footnote w:id="28">
    <w:p w14:paraId="539EE674" w14:textId="57DF3200" w:rsidR="00B208C1" w:rsidRPr="00F17AD5" w:rsidRDefault="00B208C1" w:rsidP="00244F71">
      <w:pPr>
        <w:pStyle w:val="FootnoteText"/>
        <w:tabs>
          <w:tab w:val="left" w:pos="255"/>
          <w:tab w:val="left" w:pos="1843"/>
        </w:tabs>
        <w:spacing w:after="40"/>
        <w:ind w:left="255" w:hanging="255"/>
        <w:jc w:val="both"/>
        <w:rPr>
          <w:rFonts w:cs="Arial"/>
          <w:sz w:val="16"/>
          <w:szCs w:val="16"/>
        </w:rPr>
      </w:pPr>
      <w:r w:rsidRPr="00A24C9B">
        <w:rPr>
          <w:rStyle w:val="FootnoteReference"/>
          <w:rFonts w:cs="Arial"/>
          <w:sz w:val="18"/>
          <w:szCs w:val="18"/>
        </w:rPr>
        <w:footnoteRef/>
      </w:r>
      <w:r w:rsidRPr="00F17AD5">
        <w:rPr>
          <w:rFonts w:cs="Arial"/>
          <w:sz w:val="16"/>
          <w:szCs w:val="16"/>
        </w:rPr>
        <w:t xml:space="preserve"> </w:t>
      </w:r>
      <w:r>
        <w:rPr>
          <w:rFonts w:cs="Arial"/>
          <w:sz w:val="16"/>
          <w:szCs w:val="16"/>
        </w:rPr>
        <w:tab/>
      </w:r>
      <w:r w:rsidRPr="00F17AD5">
        <w:rPr>
          <w:rFonts w:cs="Arial"/>
          <w:sz w:val="16"/>
          <w:szCs w:val="16"/>
        </w:rPr>
        <w:t xml:space="preserve">UNESCO (2017) </w:t>
      </w:r>
      <w:r w:rsidRPr="00A24C9B">
        <w:rPr>
          <w:rFonts w:cs="Arial"/>
          <w:sz w:val="16"/>
          <w:szCs w:val="16"/>
        </w:rPr>
        <w:t xml:space="preserve">Gender-sensitive resources </w:t>
      </w:r>
      <w:r w:rsidRPr="00A24C9B">
        <w:rPr>
          <w:rFonts w:cs="Arial"/>
          <w:i/>
          <w:iCs/>
          <w:sz w:val="16"/>
          <w:szCs w:val="16"/>
          <w:u w:val="single"/>
        </w:rPr>
        <w:t>In</w:t>
      </w:r>
      <w:r w:rsidRPr="00A24C9B">
        <w:rPr>
          <w:rFonts w:cs="Arial"/>
          <w:sz w:val="16"/>
          <w:szCs w:val="16"/>
        </w:rPr>
        <w:t xml:space="preserve"> Women make the news [Webpage]</w:t>
      </w:r>
      <w:r w:rsidRPr="00F17AD5">
        <w:rPr>
          <w:rFonts w:cs="Arial"/>
          <w:sz w:val="16"/>
          <w:szCs w:val="16"/>
        </w:rPr>
        <w:t xml:space="preserve"> United Nations Educational, Scientific and Cultural Organization, Paris. </w:t>
      </w:r>
      <w:r>
        <w:rPr>
          <w:rFonts w:cs="Arial"/>
          <w:sz w:val="16"/>
          <w:szCs w:val="16"/>
        </w:rPr>
        <w:t xml:space="preserve">Available from: </w:t>
      </w:r>
      <w:hyperlink r:id="rId27" w:history="1">
        <w:r w:rsidRPr="00A24C9B">
          <w:rPr>
            <w:rStyle w:val="Hyperlink"/>
            <w:rFonts w:cs="Arial"/>
            <w:sz w:val="16"/>
            <w:szCs w:val="16"/>
          </w:rPr>
          <w:t>URL</w:t>
        </w:r>
      </w:hyperlink>
    </w:p>
  </w:footnote>
  <w:footnote w:id="29">
    <w:p w14:paraId="11FBDDB0" w14:textId="605DEF8B" w:rsidR="00B208C1" w:rsidRPr="00F17AD5" w:rsidRDefault="00B208C1" w:rsidP="00244F71">
      <w:pPr>
        <w:pStyle w:val="FootnoteText"/>
        <w:tabs>
          <w:tab w:val="left" w:pos="255"/>
        </w:tabs>
        <w:spacing w:after="40"/>
        <w:ind w:left="255" w:hanging="255"/>
        <w:jc w:val="both"/>
        <w:rPr>
          <w:rFonts w:cs="Arial"/>
          <w:sz w:val="16"/>
          <w:szCs w:val="16"/>
        </w:rPr>
      </w:pPr>
      <w:r w:rsidRPr="00A24C9B">
        <w:rPr>
          <w:rStyle w:val="FootnoteReference"/>
          <w:rFonts w:cs="Arial"/>
          <w:sz w:val="18"/>
          <w:szCs w:val="18"/>
        </w:rPr>
        <w:footnoteRef/>
      </w:r>
      <w:r w:rsidRPr="00F17AD5">
        <w:rPr>
          <w:rFonts w:cs="Arial"/>
          <w:sz w:val="16"/>
          <w:szCs w:val="16"/>
        </w:rPr>
        <w:t xml:space="preserve"> </w:t>
      </w:r>
      <w:r>
        <w:rPr>
          <w:rFonts w:cs="Arial"/>
          <w:sz w:val="16"/>
          <w:szCs w:val="16"/>
        </w:rPr>
        <w:tab/>
      </w:r>
      <w:r w:rsidRPr="00F17AD5">
        <w:rPr>
          <w:rFonts w:cs="Arial"/>
          <w:sz w:val="16"/>
          <w:szCs w:val="16"/>
        </w:rPr>
        <w:t>Webster A, Anderson R, Barr M (2017) Growing up unequal: how sex and gender impact young women's health and wellbeing. Women's Health Victoria. Melbourne. - (</w:t>
      </w:r>
      <w:r w:rsidRPr="00A24C9B">
        <w:rPr>
          <w:rFonts w:cs="Arial"/>
          <w:i/>
          <w:iCs/>
          <w:sz w:val="16"/>
          <w:szCs w:val="16"/>
        </w:rPr>
        <w:t>Women's Health Issues Paper</w:t>
      </w:r>
      <w:r w:rsidRPr="00F17AD5">
        <w:rPr>
          <w:rFonts w:cs="Arial"/>
          <w:sz w:val="16"/>
          <w:szCs w:val="16"/>
        </w:rPr>
        <w:t>; 12)</w:t>
      </w:r>
      <w:r>
        <w:rPr>
          <w:rFonts w:cs="Arial"/>
          <w:sz w:val="16"/>
          <w:szCs w:val="16"/>
        </w:rPr>
        <w:t xml:space="preserve">. </w:t>
      </w:r>
      <w:r w:rsidRPr="00E973A4">
        <w:rPr>
          <w:rFonts w:eastAsia="Times New Roman" w:cs="Arial"/>
          <w:sz w:val="16"/>
          <w:szCs w:val="16"/>
        </w:rPr>
        <w:t xml:space="preserve">Available from: </w:t>
      </w:r>
      <w:hyperlink r:id="rId28" w:history="1">
        <w:r w:rsidRPr="00E973A4">
          <w:rPr>
            <w:rFonts w:eastAsia="Times New Roman" w:cs="Arial"/>
            <w:color w:val="0563C1" w:themeColor="hyperlink"/>
            <w:sz w:val="16"/>
            <w:szCs w:val="16"/>
            <w:u w:val="single"/>
          </w:rPr>
          <w:t>URL</w:t>
        </w:r>
      </w:hyperlink>
    </w:p>
  </w:footnote>
  <w:footnote w:id="30">
    <w:p w14:paraId="067471D9" w14:textId="396BC1B1" w:rsidR="00B208C1" w:rsidRPr="00F17AD5" w:rsidRDefault="00B208C1" w:rsidP="00244F71">
      <w:pPr>
        <w:pStyle w:val="FootnoteText"/>
        <w:tabs>
          <w:tab w:val="left" w:pos="255"/>
        </w:tabs>
        <w:spacing w:after="40"/>
        <w:ind w:left="255" w:hanging="255"/>
        <w:jc w:val="both"/>
        <w:rPr>
          <w:rFonts w:cs="Arial"/>
          <w:sz w:val="16"/>
          <w:szCs w:val="16"/>
        </w:rPr>
      </w:pPr>
      <w:r w:rsidRPr="00A24C9B">
        <w:rPr>
          <w:rStyle w:val="FootnoteReference"/>
          <w:rFonts w:cs="Arial"/>
          <w:sz w:val="18"/>
          <w:szCs w:val="18"/>
        </w:rPr>
        <w:footnoteRef/>
      </w:r>
      <w:r w:rsidRPr="00A24C9B">
        <w:rPr>
          <w:rFonts w:cs="Arial"/>
          <w:sz w:val="18"/>
          <w:szCs w:val="18"/>
        </w:rPr>
        <w:t xml:space="preserve"> </w:t>
      </w:r>
      <w:r>
        <w:rPr>
          <w:rFonts w:cs="Arial"/>
          <w:sz w:val="16"/>
          <w:szCs w:val="16"/>
        </w:rPr>
        <w:tab/>
      </w:r>
      <w:r w:rsidRPr="00F17AD5">
        <w:rPr>
          <w:rFonts w:cs="Arial"/>
          <w:sz w:val="16"/>
          <w:szCs w:val="16"/>
        </w:rPr>
        <w:t xml:space="preserve">Tiller E, Fildes J, Hall S, Hicking V, Greenland N, Liyanarachchi D, </w:t>
      </w:r>
      <w:r>
        <w:rPr>
          <w:rFonts w:cs="Arial"/>
          <w:sz w:val="16"/>
          <w:szCs w:val="16"/>
        </w:rPr>
        <w:t>et al. (2020)</w:t>
      </w:r>
      <w:r w:rsidRPr="003061B9">
        <w:rPr>
          <w:rFonts w:cs="Arial"/>
          <w:sz w:val="16"/>
          <w:szCs w:val="16"/>
        </w:rPr>
        <w:t xml:space="preserve"> Youth Survey Report 2020</w:t>
      </w:r>
      <w:r>
        <w:rPr>
          <w:rFonts w:cs="Arial"/>
          <w:sz w:val="16"/>
          <w:szCs w:val="16"/>
        </w:rPr>
        <w:t xml:space="preserve">. Mission Australia. Sydney. Available from: </w:t>
      </w:r>
      <w:hyperlink r:id="rId29" w:history="1">
        <w:r w:rsidRPr="003061B9">
          <w:rPr>
            <w:rStyle w:val="Hyperlink"/>
            <w:rFonts w:cs="Arial"/>
            <w:sz w:val="16"/>
            <w:szCs w:val="16"/>
          </w:rPr>
          <w:t>URL</w:t>
        </w:r>
      </w:hyperlink>
    </w:p>
  </w:footnote>
  <w:footnote w:id="31">
    <w:p w14:paraId="3C403B31" w14:textId="6E075186" w:rsidR="00B208C1" w:rsidRPr="00F17AD5" w:rsidRDefault="00B208C1" w:rsidP="00244F71">
      <w:pPr>
        <w:tabs>
          <w:tab w:val="left" w:pos="255"/>
        </w:tabs>
        <w:spacing w:after="40" w:line="240" w:lineRule="auto"/>
        <w:ind w:left="255" w:hanging="255"/>
        <w:jc w:val="both"/>
        <w:rPr>
          <w:rFonts w:ascii="Arial" w:hAnsi="Arial" w:cs="Arial"/>
          <w:sz w:val="16"/>
          <w:szCs w:val="16"/>
        </w:rPr>
      </w:pPr>
      <w:r w:rsidRPr="00A24C9B">
        <w:rPr>
          <w:rFonts w:ascii="Arial" w:hAnsi="Arial" w:cs="Arial"/>
          <w:sz w:val="18"/>
          <w:szCs w:val="18"/>
          <w:vertAlign w:val="superscript"/>
        </w:rPr>
        <w:footnoteRef/>
      </w:r>
      <w:r w:rsidRPr="00A24C9B">
        <w:rPr>
          <w:rFonts w:ascii="Arial" w:hAnsi="Arial" w:cs="Arial"/>
          <w:sz w:val="18"/>
          <w:szCs w:val="18"/>
          <w:vertAlign w:val="superscript"/>
        </w:rPr>
        <w:t xml:space="preserve"> </w:t>
      </w:r>
      <w:r>
        <w:rPr>
          <w:rFonts w:ascii="Arial" w:hAnsi="Arial" w:cs="Arial"/>
          <w:sz w:val="16"/>
          <w:szCs w:val="16"/>
        </w:rPr>
        <w:tab/>
      </w:r>
      <w:r w:rsidRPr="00F17AD5">
        <w:rPr>
          <w:rFonts w:ascii="Arial" w:eastAsia="Calibri" w:hAnsi="Arial" w:cs="Arial"/>
          <w:color w:val="000000" w:themeColor="text1"/>
          <w:sz w:val="16"/>
          <w:szCs w:val="16"/>
        </w:rPr>
        <w:t xml:space="preserve">Holden L, Harris M, Hockey R, Ferrari A, Lee YY, Dobson AJ, et al. (2019) </w:t>
      </w:r>
      <w:r w:rsidRPr="000F25E8">
        <w:rPr>
          <w:rFonts w:ascii="Arial" w:eastAsia="Calibri" w:hAnsi="Arial" w:cs="Arial"/>
          <w:color w:val="000000" w:themeColor="text1"/>
          <w:sz w:val="16"/>
          <w:szCs w:val="16"/>
        </w:rPr>
        <w:t>Predictors of change in depressive symptoms over time: Results from the Australian Longitudinal Study on Women's Health.</w:t>
      </w:r>
      <w:r w:rsidRPr="00F17AD5">
        <w:rPr>
          <w:rFonts w:ascii="Arial" w:eastAsia="Calibri" w:hAnsi="Arial" w:cs="Arial"/>
          <w:color w:val="000000" w:themeColor="text1"/>
          <w:sz w:val="16"/>
          <w:szCs w:val="16"/>
        </w:rPr>
        <w:t xml:space="preserve"> </w:t>
      </w:r>
      <w:r w:rsidRPr="000F25E8">
        <w:rPr>
          <w:rFonts w:ascii="Arial" w:eastAsia="Calibri" w:hAnsi="Arial" w:cs="Arial"/>
          <w:i/>
          <w:iCs/>
          <w:color w:val="000000" w:themeColor="text1"/>
          <w:sz w:val="16"/>
          <w:szCs w:val="16"/>
        </w:rPr>
        <w:t>Journal of Affective Disorders</w:t>
      </w:r>
      <w:r w:rsidRPr="00F17AD5">
        <w:rPr>
          <w:rFonts w:ascii="Arial" w:eastAsia="Calibri" w:hAnsi="Arial" w:cs="Arial"/>
          <w:color w:val="000000" w:themeColor="text1"/>
          <w:sz w:val="16"/>
          <w:szCs w:val="16"/>
        </w:rPr>
        <w:t>. 245:771-8.</w:t>
      </w:r>
    </w:p>
  </w:footnote>
  <w:footnote w:id="32">
    <w:p w14:paraId="2F8EB8B5" w14:textId="77777777" w:rsidR="00B208C1" w:rsidRPr="00F17AD5" w:rsidRDefault="00B208C1" w:rsidP="00B3212C">
      <w:pPr>
        <w:pStyle w:val="FootnoteText"/>
        <w:tabs>
          <w:tab w:val="left" w:pos="255"/>
          <w:tab w:val="left" w:pos="1843"/>
        </w:tabs>
        <w:spacing w:after="40"/>
        <w:ind w:left="255" w:hanging="255"/>
        <w:jc w:val="both"/>
        <w:rPr>
          <w:rFonts w:cs="Arial"/>
          <w:sz w:val="16"/>
          <w:szCs w:val="16"/>
        </w:rPr>
      </w:pPr>
      <w:r w:rsidRPr="00A24C9B">
        <w:rPr>
          <w:rStyle w:val="FootnoteReference"/>
          <w:rFonts w:cs="Arial"/>
          <w:sz w:val="18"/>
          <w:szCs w:val="18"/>
        </w:rPr>
        <w:footnoteRef/>
      </w:r>
      <w:r w:rsidRPr="00F17AD5">
        <w:rPr>
          <w:rFonts w:cs="Arial"/>
          <w:sz w:val="16"/>
          <w:szCs w:val="16"/>
        </w:rPr>
        <w:t xml:space="preserve"> </w:t>
      </w:r>
      <w:r>
        <w:rPr>
          <w:rFonts w:cs="Arial"/>
          <w:sz w:val="16"/>
          <w:szCs w:val="16"/>
        </w:rPr>
        <w:tab/>
      </w:r>
      <w:proofErr w:type="spellStart"/>
      <w:r w:rsidRPr="00F17AD5">
        <w:rPr>
          <w:rStyle w:val="normaltextrun"/>
          <w:rFonts w:cs="Arial"/>
          <w:color w:val="000000"/>
          <w:sz w:val="16"/>
          <w:szCs w:val="16"/>
        </w:rPr>
        <w:t>Tirlea</w:t>
      </w:r>
      <w:proofErr w:type="spellEnd"/>
      <w:r>
        <w:rPr>
          <w:rStyle w:val="normaltextrun"/>
          <w:rFonts w:cs="Arial"/>
          <w:color w:val="000000"/>
          <w:sz w:val="16"/>
          <w:szCs w:val="16"/>
        </w:rPr>
        <w:t xml:space="preserve"> </w:t>
      </w:r>
      <w:r w:rsidRPr="00F17AD5">
        <w:rPr>
          <w:rStyle w:val="normaltextrun"/>
          <w:rFonts w:cs="Arial"/>
          <w:color w:val="000000"/>
          <w:sz w:val="16"/>
          <w:szCs w:val="16"/>
        </w:rPr>
        <w:t xml:space="preserve">L, </w:t>
      </w:r>
      <w:proofErr w:type="spellStart"/>
      <w:r w:rsidRPr="00F17AD5">
        <w:rPr>
          <w:rStyle w:val="normaltextrun"/>
          <w:rFonts w:cs="Arial"/>
          <w:color w:val="000000"/>
          <w:sz w:val="16"/>
          <w:szCs w:val="16"/>
        </w:rPr>
        <w:t>Truby</w:t>
      </w:r>
      <w:proofErr w:type="spellEnd"/>
      <w:r w:rsidRPr="00F17AD5">
        <w:rPr>
          <w:rStyle w:val="normaltextrun"/>
          <w:rFonts w:cs="Arial"/>
          <w:color w:val="000000"/>
          <w:sz w:val="16"/>
          <w:szCs w:val="16"/>
        </w:rPr>
        <w:t xml:space="preserve"> H, Haines TP (2016)</w:t>
      </w:r>
      <w:r>
        <w:rPr>
          <w:rStyle w:val="normaltextrun"/>
          <w:rFonts w:cs="Arial"/>
          <w:color w:val="000000"/>
          <w:sz w:val="16"/>
          <w:szCs w:val="16"/>
        </w:rPr>
        <w:t xml:space="preserve"> </w:t>
      </w:r>
      <w:r w:rsidRPr="00A24C9B">
        <w:rPr>
          <w:rStyle w:val="normaltextrun"/>
          <w:rFonts w:cs="Arial"/>
          <w:color w:val="000000"/>
          <w:sz w:val="16"/>
          <w:szCs w:val="16"/>
        </w:rPr>
        <w:t xml:space="preserve">Pragmatic, randomized controlled trials of the </w:t>
      </w:r>
      <w:r>
        <w:rPr>
          <w:rStyle w:val="normaltextrun"/>
          <w:rFonts w:cs="Arial"/>
          <w:color w:val="000000"/>
          <w:sz w:val="16"/>
          <w:szCs w:val="16"/>
        </w:rPr>
        <w:t>G</w:t>
      </w:r>
      <w:r w:rsidRPr="00A24C9B">
        <w:rPr>
          <w:rStyle w:val="normaltextrun"/>
          <w:rFonts w:cs="Arial"/>
          <w:color w:val="000000"/>
          <w:sz w:val="16"/>
          <w:szCs w:val="16"/>
        </w:rPr>
        <w:t xml:space="preserve">irls on the </w:t>
      </w:r>
      <w:r>
        <w:rPr>
          <w:rStyle w:val="normaltextrun"/>
          <w:rFonts w:cs="Arial"/>
          <w:color w:val="000000"/>
          <w:sz w:val="16"/>
          <w:szCs w:val="16"/>
        </w:rPr>
        <w:t>G</w:t>
      </w:r>
      <w:r w:rsidRPr="00A24C9B">
        <w:rPr>
          <w:rStyle w:val="normaltextrun"/>
          <w:rFonts w:cs="Arial"/>
          <w:color w:val="000000"/>
          <w:sz w:val="16"/>
          <w:szCs w:val="16"/>
        </w:rPr>
        <w:t>o! Program to improve self-esteem in girls.</w:t>
      </w:r>
      <w:r w:rsidRPr="00F17AD5">
        <w:rPr>
          <w:rStyle w:val="normaltextrun"/>
          <w:rFonts w:cs="Arial"/>
          <w:color w:val="000000"/>
          <w:sz w:val="16"/>
          <w:szCs w:val="16"/>
        </w:rPr>
        <w:t xml:space="preserve"> </w:t>
      </w:r>
      <w:r w:rsidRPr="00A24C9B">
        <w:rPr>
          <w:rStyle w:val="normaltextrun"/>
          <w:rFonts w:cs="Arial"/>
          <w:i/>
          <w:iCs/>
          <w:color w:val="000000"/>
          <w:sz w:val="16"/>
          <w:szCs w:val="16"/>
        </w:rPr>
        <w:t>American Journal of Health Promotion</w:t>
      </w:r>
      <w:r w:rsidRPr="00F17AD5">
        <w:rPr>
          <w:rStyle w:val="normaltextrun"/>
          <w:rFonts w:cs="Arial"/>
          <w:color w:val="000000"/>
          <w:sz w:val="16"/>
          <w:szCs w:val="16"/>
        </w:rPr>
        <w:t>. 30(4):231-41.</w:t>
      </w:r>
    </w:p>
  </w:footnote>
  <w:footnote w:id="33">
    <w:p w14:paraId="072BAAD5" w14:textId="29CF6184" w:rsidR="00B208C1" w:rsidRPr="00F17AD5" w:rsidRDefault="00B208C1" w:rsidP="00244F71">
      <w:pPr>
        <w:pStyle w:val="FootnoteText"/>
        <w:tabs>
          <w:tab w:val="left" w:pos="255"/>
        </w:tabs>
        <w:spacing w:after="40"/>
        <w:ind w:left="255" w:hanging="255"/>
        <w:jc w:val="both"/>
        <w:rPr>
          <w:rFonts w:cs="Arial"/>
          <w:sz w:val="16"/>
          <w:szCs w:val="16"/>
        </w:rPr>
      </w:pPr>
      <w:r w:rsidRPr="00A24C9B">
        <w:rPr>
          <w:rStyle w:val="FootnoteReference"/>
          <w:rFonts w:cs="Arial"/>
          <w:sz w:val="18"/>
          <w:szCs w:val="18"/>
        </w:rPr>
        <w:footnoteRef/>
      </w:r>
      <w:r>
        <w:rPr>
          <w:rFonts w:cs="Arial"/>
          <w:sz w:val="16"/>
          <w:szCs w:val="16"/>
        </w:rPr>
        <w:tab/>
        <w:t>I</w:t>
      </w:r>
      <w:r w:rsidRPr="00F17AD5">
        <w:rPr>
          <w:rFonts w:cs="Arial"/>
          <w:sz w:val="16"/>
          <w:szCs w:val="16"/>
        </w:rPr>
        <w:t>n their latest Youth Survey, Mission Australia have highlighted the need for gender-sensitive mental health services.</w:t>
      </w:r>
    </w:p>
  </w:footnote>
  <w:footnote w:id="34">
    <w:p w14:paraId="314573AA" w14:textId="02E3C38B" w:rsidR="00B208C1" w:rsidRPr="00F17AD5" w:rsidRDefault="00B208C1" w:rsidP="00244F71">
      <w:pPr>
        <w:pStyle w:val="FootnoteText"/>
        <w:tabs>
          <w:tab w:val="left" w:pos="255"/>
        </w:tabs>
        <w:spacing w:after="40"/>
        <w:ind w:left="255" w:hanging="255"/>
        <w:jc w:val="both"/>
        <w:rPr>
          <w:rFonts w:cs="Arial"/>
          <w:sz w:val="16"/>
          <w:szCs w:val="16"/>
          <w:lang w:val="en-US"/>
        </w:rPr>
      </w:pPr>
      <w:r w:rsidRPr="0077711F">
        <w:rPr>
          <w:rStyle w:val="FootnoteReference"/>
          <w:rFonts w:cs="Arial"/>
          <w:sz w:val="18"/>
          <w:szCs w:val="18"/>
        </w:rPr>
        <w:footnoteRef/>
      </w:r>
      <w:r w:rsidRPr="00F17AD5">
        <w:rPr>
          <w:rFonts w:cs="Arial"/>
          <w:sz w:val="16"/>
          <w:szCs w:val="16"/>
        </w:rPr>
        <w:t xml:space="preserve"> </w:t>
      </w:r>
      <w:r>
        <w:rPr>
          <w:rFonts w:cs="Arial"/>
          <w:sz w:val="16"/>
          <w:szCs w:val="16"/>
        </w:rPr>
        <w:tab/>
      </w:r>
      <w:r w:rsidRPr="00F17AD5">
        <w:rPr>
          <w:rFonts w:cs="Arial"/>
          <w:sz w:val="16"/>
          <w:szCs w:val="16"/>
        </w:rPr>
        <w:fldChar w:fldCharType="begin"/>
      </w:r>
      <w:r w:rsidRPr="00F17AD5">
        <w:rPr>
          <w:rFonts w:cs="Arial"/>
          <w:sz w:val="16"/>
          <w:szCs w:val="16"/>
        </w:rPr>
        <w:instrText xml:space="preserve"> ADDIN EN.CITE &lt;EndNote&gt;&lt;Cite&gt;&lt;Author&gt;Wiklund&lt;/Author&gt;&lt;Year&gt;2010&lt;/Year&gt;&lt;RecNum&gt;81&lt;/RecNum&gt;&lt;DisplayText&gt;Wiklund, Bengs, Malmgren-Olsson and Öhman (2010) Young women facing multiple and intersecting stressors of modernity, gender orders and youth. &lt;style face="italic"&gt;Social Science and Medicine&lt;/style&gt;. 71 (9):1567-75&lt;/DisplayText&gt;&lt;record&gt;&lt;rec-number&gt;81&lt;/rec-number&gt;&lt;foreign-keys&gt;&lt;key app="EN" db-id="ssa09sw2ttazvjex2225xtt350ewfx2vadfs"&gt;81&lt;/key&gt;&lt;/foreign-keys&gt;&lt;ref-type name="Journal Article"&gt;17&lt;/ref-type&gt;&lt;contributors&gt;&lt;authors&gt;&lt;author&gt;Wiklund, Maria&lt;/author&gt;&lt;author&gt;Bengs, Carita&lt;/author&gt;&lt;author&gt;Malmgren-Olsson, Eva-Britt&lt;/author&gt;&lt;author&gt;Öhman, Ann&lt;/author&gt;&lt;/authors&gt;&lt;/contributors&gt;&lt;titles&gt;&lt;title&gt;Young women facing multiple and intersecting stressors of modernity, gender orders and youth&lt;/title&gt;&lt;secondary-title&gt;Social Science and Medicine&lt;/secondary-title&gt;&lt;/titles&gt;&lt;periodical&gt;&lt;full-title&gt;Social Science and Medicine&lt;/full-title&gt;&lt;/periodical&gt;&lt;pages&gt;1567-1575&lt;/pages&gt;&lt;volume&gt;71&lt;/volume&gt;&lt;number&gt;9&lt;/number&gt;&lt;keywords&gt;&lt;keyword&gt;PEER pressure&lt;/keyword&gt;&lt;keyword&gt;STRESS (Psychology)&lt;/keyword&gt;&lt;keyword&gt;SOCIAL support&lt;/keyword&gt;&lt;keyword&gt;INTERVIEWS&lt;/keyword&gt;&lt;keyword&gt;SWEDEN&lt;/keyword&gt;&lt;keyword&gt;Adolescents&lt;/keyword&gt;&lt;keyword&gt;Femininity&lt;/keyword&gt;&lt;keyword&gt;Gender&lt;/keyword&gt;&lt;keyword&gt;Qualitative content analysis&lt;/keyword&gt;&lt;keyword&gt;Qualitative method&lt;/keyword&gt;&lt;keyword&gt;Stress&lt;/keyword&gt;&lt;keyword&gt;Young women&lt;/keyword&gt;&lt;keyword&gt;Youth health&lt;/keyword&gt;&lt;/keywords&gt;&lt;dates&gt;&lt;year&gt;2010&lt;/year&gt;&lt;/dates&gt;&lt;isbn&gt;02779536&lt;/isbn&gt;&lt;accession-num&gt;57986857&lt;/accession-num&gt;&lt;urls&gt;&lt;/urls&gt;&lt;electronic-resource-num&gt;10.1016/j.socscimed.2010.08.004&lt;/electronic-resource-num&gt;&lt;remote-database-name&gt;sih&lt;/remote-database-name&gt;&lt;remote-database-provider&gt;EBSCOhost&lt;/remote-database-provider&gt;&lt;/record&gt;&lt;/Cite&gt;&lt;/EndNote&gt;</w:instrText>
      </w:r>
      <w:r w:rsidRPr="00F17AD5">
        <w:rPr>
          <w:rFonts w:cs="Arial"/>
          <w:sz w:val="16"/>
          <w:szCs w:val="16"/>
        </w:rPr>
        <w:fldChar w:fldCharType="separate"/>
      </w:r>
      <w:r w:rsidRPr="00F17AD5">
        <w:rPr>
          <w:rFonts w:cs="Arial"/>
          <w:noProof/>
          <w:sz w:val="16"/>
          <w:szCs w:val="16"/>
        </w:rPr>
        <w:t>Wiklund</w:t>
      </w:r>
      <w:r>
        <w:rPr>
          <w:rFonts w:cs="Arial"/>
          <w:noProof/>
          <w:sz w:val="16"/>
          <w:szCs w:val="16"/>
        </w:rPr>
        <w:t xml:space="preserve"> M</w:t>
      </w:r>
      <w:r w:rsidRPr="00F17AD5">
        <w:rPr>
          <w:rFonts w:cs="Arial"/>
          <w:noProof/>
          <w:sz w:val="16"/>
          <w:szCs w:val="16"/>
        </w:rPr>
        <w:t>, Bengs</w:t>
      </w:r>
      <w:r>
        <w:rPr>
          <w:rFonts w:cs="Arial"/>
          <w:noProof/>
          <w:sz w:val="16"/>
          <w:szCs w:val="16"/>
        </w:rPr>
        <w:t xml:space="preserve"> C</w:t>
      </w:r>
      <w:r w:rsidRPr="00F17AD5">
        <w:rPr>
          <w:rFonts w:cs="Arial"/>
          <w:noProof/>
          <w:sz w:val="16"/>
          <w:szCs w:val="16"/>
        </w:rPr>
        <w:t>, Malmgren-Olsson</w:t>
      </w:r>
      <w:r>
        <w:rPr>
          <w:rFonts w:cs="Arial"/>
          <w:noProof/>
          <w:sz w:val="16"/>
          <w:szCs w:val="16"/>
        </w:rPr>
        <w:t xml:space="preserve"> E-B, </w:t>
      </w:r>
      <w:r w:rsidRPr="00F17AD5">
        <w:rPr>
          <w:rFonts w:cs="Arial"/>
          <w:noProof/>
          <w:sz w:val="16"/>
          <w:szCs w:val="16"/>
        </w:rPr>
        <w:t>Öhman</w:t>
      </w:r>
      <w:r>
        <w:rPr>
          <w:rFonts w:cs="Arial"/>
          <w:noProof/>
          <w:sz w:val="16"/>
          <w:szCs w:val="16"/>
        </w:rPr>
        <w:t xml:space="preserve"> A</w:t>
      </w:r>
      <w:r w:rsidRPr="00F17AD5">
        <w:rPr>
          <w:rFonts w:cs="Arial"/>
          <w:noProof/>
          <w:sz w:val="16"/>
          <w:szCs w:val="16"/>
        </w:rPr>
        <w:t xml:space="preserve"> (2010) Young women facing multiple and intersecting stressors of modernity, gender orders and youth. </w:t>
      </w:r>
      <w:r w:rsidRPr="00F17AD5">
        <w:rPr>
          <w:rFonts w:cs="Arial"/>
          <w:i/>
          <w:noProof/>
          <w:sz w:val="16"/>
          <w:szCs w:val="16"/>
        </w:rPr>
        <w:t>Social Science and Medicine</w:t>
      </w:r>
      <w:r w:rsidRPr="00F17AD5">
        <w:rPr>
          <w:rFonts w:cs="Arial"/>
          <w:noProof/>
          <w:sz w:val="16"/>
          <w:szCs w:val="16"/>
        </w:rPr>
        <w:t>. 71(9):1567-75</w:t>
      </w:r>
      <w:r w:rsidRPr="00F17AD5">
        <w:rPr>
          <w:rFonts w:cs="Arial"/>
          <w:sz w:val="16"/>
          <w:szCs w:val="16"/>
        </w:rPr>
        <w:fldChar w:fldCharType="end"/>
      </w:r>
      <w:r w:rsidRPr="00F17AD5">
        <w:rPr>
          <w:rFonts w:cs="Arial"/>
          <w:sz w:val="16"/>
          <w:szCs w:val="16"/>
        </w:rPr>
        <w:t>.</w:t>
      </w:r>
    </w:p>
  </w:footnote>
  <w:footnote w:id="35">
    <w:p w14:paraId="507302C5" w14:textId="22BBC420" w:rsidR="00B208C1" w:rsidRPr="00F17AD5" w:rsidRDefault="00B208C1" w:rsidP="00244F71">
      <w:pPr>
        <w:pStyle w:val="FootnoteText"/>
        <w:tabs>
          <w:tab w:val="left" w:pos="255"/>
        </w:tabs>
        <w:spacing w:after="40"/>
        <w:ind w:left="255" w:hanging="255"/>
        <w:jc w:val="both"/>
        <w:rPr>
          <w:rFonts w:cs="Arial"/>
          <w:sz w:val="16"/>
          <w:szCs w:val="16"/>
          <w:lang w:val="en-US"/>
        </w:rPr>
      </w:pPr>
      <w:r w:rsidRPr="0077711F">
        <w:rPr>
          <w:rStyle w:val="FootnoteReference"/>
          <w:rFonts w:cs="Arial"/>
          <w:sz w:val="18"/>
          <w:szCs w:val="18"/>
        </w:rPr>
        <w:footnoteRef/>
      </w:r>
      <w:r w:rsidRPr="00F17AD5">
        <w:rPr>
          <w:rFonts w:cs="Arial"/>
          <w:sz w:val="16"/>
          <w:szCs w:val="16"/>
        </w:rPr>
        <w:t xml:space="preserve"> </w:t>
      </w:r>
      <w:r>
        <w:rPr>
          <w:rFonts w:cs="Arial"/>
          <w:sz w:val="16"/>
          <w:szCs w:val="16"/>
        </w:rPr>
        <w:tab/>
        <w:t>ibid</w:t>
      </w:r>
      <w:r w:rsidRPr="00F17AD5">
        <w:rPr>
          <w:rFonts w:cs="Arial"/>
          <w:sz w:val="16"/>
          <w:szCs w:val="16"/>
        </w:rPr>
        <w:t>.</w:t>
      </w:r>
    </w:p>
  </w:footnote>
  <w:footnote w:id="36">
    <w:p w14:paraId="673E1A61" w14:textId="21F14BAE" w:rsidR="00B208C1" w:rsidRPr="00F17AD5" w:rsidRDefault="00B208C1" w:rsidP="00244F71">
      <w:pPr>
        <w:pStyle w:val="FootnoteText"/>
        <w:tabs>
          <w:tab w:val="left" w:pos="255"/>
        </w:tabs>
        <w:spacing w:after="40"/>
        <w:ind w:left="255" w:hanging="255"/>
        <w:jc w:val="both"/>
        <w:rPr>
          <w:rFonts w:cs="Arial"/>
          <w:sz w:val="16"/>
          <w:szCs w:val="16"/>
          <w:lang w:val="en-US"/>
        </w:rPr>
      </w:pPr>
      <w:r w:rsidRPr="0077711F">
        <w:rPr>
          <w:rStyle w:val="FootnoteReference"/>
          <w:rFonts w:cs="Arial"/>
          <w:sz w:val="18"/>
          <w:szCs w:val="18"/>
        </w:rPr>
        <w:footnoteRef/>
      </w:r>
      <w:r w:rsidRPr="00F17AD5">
        <w:rPr>
          <w:rFonts w:cs="Arial"/>
          <w:sz w:val="16"/>
          <w:szCs w:val="16"/>
        </w:rPr>
        <w:t xml:space="preserve"> </w:t>
      </w:r>
      <w:r>
        <w:rPr>
          <w:rFonts w:cs="Arial"/>
          <w:sz w:val="16"/>
          <w:szCs w:val="16"/>
        </w:rPr>
        <w:tab/>
        <w:t>ibid</w:t>
      </w:r>
      <w:r w:rsidRPr="00F17AD5">
        <w:rPr>
          <w:rFonts w:cs="Arial"/>
          <w:sz w:val="16"/>
          <w:szCs w:val="16"/>
        </w:rPr>
        <w:t>.</w:t>
      </w:r>
    </w:p>
  </w:footnote>
  <w:footnote w:id="37">
    <w:p w14:paraId="5486DAC5" w14:textId="35171412" w:rsidR="00B208C1" w:rsidRPr="00F17AD5" w:rsidRDefault="00B208C1" w:rsidP="00244F71">
      <w:pPr>
        <w:pStyle w:val="FootnoteText"/>
        <w:tabs>
          <w:tab w:val="left" w:pos="255"/>
        </w:tabs>
        <w:spacing w:after="40"/>
        <w:ind w:left="255" w:hanging="255"/>
        <w:jc w:val="both"/>
        <w:rPr>
          <w:rFonts w:cs="Arial"/>
          <w:sz w:val="16"/>
          <w:szCs w:val="16"/>
        </w:rPr>
      </w:pPr>
      <w:r w:rsidRPr="0077711F">
        <w:rPr>
          <w:rStyle w:val="FootnoteReference"/>
          <w:rFonts w:cs="Arial"/>
          <w:sz w:val="18"/>
          <w:szCs w:val="18"/>
        </w:rPr>
        <w:footnoteRef/>
      </w:r>
      <w:r w:rsidRPr="00F17AD5">
        <w:rPr>
          <w:rFonts w:cs="Arial"/>
          <w:sz w:val="16"/>
          <w:szCs w:val="16"/>
        </w:rPr>
        <w:t xml:space="preserve"> </w:t>
      </w:r>
      <w:r>
        <w:rPr>
          <w:rFonts w:cs="Arial"/>
          <w:sz w:val="16"/>
          <w:szCs w:val="16"/>
        </w:rPr>
        <w:tab/>
      </w:r>
      <w:r w:rsidRPr="00F17AD5">
        <w:rPr>
          <w:rFonts w:cs="Arial"/>
          <w:sz w:val="16"/>
          <w:szCs w:val="16"/>
        </w:rPr>
        <w:fldChar w:fldCharType="begin"/>
      </w:r>
      <w:r w:rsidRPr="00F17AD5">
        <w:rPr>
          <w:rFonts w:cs="Arial"/>
          <w:sz w:val="16"/>
          <w:szCs w:val="16"/>
        </w:rPr>
        <w:instrText xml:space="preserve"> ADDIN EN.CITE &lt;EndNote&gt;&lt;Cite&gt;&lt;Author&gt;Fink&lt;/Author&gt;&lt;Year&gt;2015&lt;/Year&gt;&lt;RecNum&gt;739&lt;/RecNum&gt;&lt;DisplayText&gt;Fink, Patalay, Sharpe and et al. (2015) Mental health difficulties in early adolescence : a  comparison of two cross-sectional studies in England from 2009 to 2014. &lt;style face="italic"&gt;Journal of Adolescent Health&lt;/style&gt;. 56 (5):502-7&lt;/DisplayText&gt;&lt;record&gt;&lt;rec-number&gt;739&lt;/rec-number&gt;&lt;foreign-keys&gt;&lt;key app="EN" db-id="ssa09sw2ttazvjex2225xtt350ewfx2vadfs"&gt;739&lt;/key&gt;&lt;/foreign-keys&gt;&lt;ref-type name="Journal Article"&gt;17&lt;/ref-type&gt;&lt;contributors&gt;&lt;authors&gt;&lt;author&gt;Fink, E&lt;/author&gt;&lt;author&gt;Patalay, P&lt;/author&gt;&lt;author&gt;Sharpe, S&lt;/author&gt;&lt;author&gt;et al.,&lt;/author&gt;&lt;/authors&gt;&lt;/contributors&gt;&lt;titles&gt;&lt;title&gt;Mental health difficulties in early adolescence : a  comparison of two cross-sectional studies in England from 2009 to 2014&lt;/title&gt;&lt;secondary-title&gt;Journal of Adolescent Health&lt;/secondary-title&gt;&lt;/titles&gt;&lt;periodical&gt;&lt;full-title&gt;Journal of Adolescent Health&lt;/full-title&gt;&lt;/periodical&gt;&lt;pages&gt;502-7&lt;/pages&gt;&lt;volume&gt;56&lt;/volume&gt;&lt;number&gt;5&lt;/number&gt;&lt;dates&gt;&lt;year&gt;2015&lt;/year&gt;&lt;/dates&gt;&lt;urls&gt;&lt;related-urls&gt;&lt;url&gt;http://www.jahonline.org/article/S1054-139X(15)00064-6/fulltext&lt;/url&gt;&lt;/related-urls&gt;&lt;/urls&gt;&lt;/record&gt;&lt;/Cite&gt;&lt;/EndNote&gt;</w:instrText>
      </w:r>
      <w:r w:rsidRPr="00F17AD5">
        <w:rPr>
          <w:rFonts w:cs="Arial"/>
          <w:sz w:val="16"/>
          <w:szCs w:val="16"/>
        </w:rPr>
        <w:fldChar w:fldCharType="separate"/>
      </w:r>
      <w:r w:rsidRPr="00F17AD5">
        <w:rPr>
          <w:rFonts w:cs="Arial"/>
          <w:noProof/>
          <w:sz w:val="16"/>
          <w:szCs w:val="16"/>
        </w:rPr>
        <w:t>Fink</w:t>
      </w:r>
      <w:r>
        <w:rPr>
          <w:rFonts w:cs="Arial"/>
          <w:noProof/>
          <w:sz w:val="16"/>
          <w:szCs w:val="16"/>
        </w:rPr>
        <w:t xml:space="preserve"> E</w:t>
      </w:r>
      <w:r w:rsidRPr="00F17AD5">
        <w:rPr>
          <w:rFonts w:cs="Arial"/>
          <w:noProof/>
          <w:sz w:val="16"/>
          <w:szCs w:val="16"/>
        </w:rPr>
        <w:t>, Patalay</w:t>
      </w:r>
      <w:r>
        <w:rPr>
          <w:rFonts w:cs="Arial"/>
          <w:noProof/>
          <w:sz w:val="16"/>
          <w:szCs w:val="16"/>
        </w:rPr>
        <w:t xml:space="preserve"> P</w:t>
      </w:r>
      <w:r w:rsidRPr="00F17AD5">
        <w:rPr>
          <w:rFonts w:cs="Arial"/>
          <w:noProof/>
          <w:sz w:val="16"/>
          <w:szCs w:val="16"/>
        </w:rPr>
        <w:t>, Sharpe</w:t>
      </w:r>
      <w:r>
        <w:rPr>
          <w:rFonts w:cs="Arial"/>
          <w:noProof/>
          <w:sz w:val="16"/>
          <w:szCs w:val="16"/>
        </w:rPr>
        <w:t xml:space="preserve"> H, Holley S, Deighton J, Wolpert M </w:t>
      </w:r>
      <w:r w:rsidRPr="00F17AD5">
        <w:rPr>
          <w:rFonts w:cs="Arial"/>
          <w:noProof/>
          <w:sz w:val="16"/>
          <w:szCs w:val="16"/>
        </w:rPr>
        <w:t xml:space="preserve">(2015) Mental health difficulties in early adolescence: a  comparison of two cross-sectional studies in England from 2009 to 2014. </w:t>
      </w:r>
      <w:r w:rsidRPr="00F17AD5">
        <w:rPr>
          <w:rFonts w:cs="Arial"/>
          <w:i/>
          <w:noProof/>
          <w:sz w:val="16"/>
          <w:szCs w:val="16"/>
        </w:rPr>
        <w:t>Journal of Adolescent Health</w:t>
      </w:r>
      <w:r w:rsidRPr="00F17AD5">
        <w:rPr>
          <w:rFonts w:cs="Arial"/>
          <w:noProof/>
          <w:sz w:val="16"/>
          <w:szCs w:val="16"/>
        </w:rPr>
        <w:t>. 56(5):502-7</w:t>
      </w:r>
      <w:r w:rsidRPr="00F17AD5">
        <w:rPr>
          <w:rFonts w:cs="Arial"/>
          <w:sz w:val="16"/>
          <w:szCs w:val="16"/>
        </w:rPr>
        <w:fldChar w:fldCharType="end"/>
      </w:r>
      <w:r w:rsidRPr="00F17AD5">
        <w:rPr>
          <w:rFonts w:cs="Arial"/>
          <w:sz w:val="16"/>
          <w:szCs w:val="16"/>
        </w:rPr>
        <w:t xml:space="preserve">, p. 505. Available from: </w:t>
      </w:r>
      <w:hyperlink r:id="rId30" w:history="1">
        <w:r w:rsidRPr="00F17AD5">
          <w:rPr>
            <w:rStyle w:val="Hyperlink"/>
            <w:rFonts w:cs="Arial"/>
            <w:sz w:val="16"/>
            <w:szCs w:val="16"/>
          </w:rPr>
          <w:t>URL</w:t>
        </w:r>
      </w:hyperlink>
    </w:p>
  </w:footnote>
  <w:footnote w:id="38">
    <w:p w14:paraId="5483A81C" w14:textId="1AC95B2D" w:rsidR="00B208C1" w:rsidRPr="00F17AD5" w:rsidRDefault="00B208C1" w:rsidP="00244F71">
      <w:pPr>
        <w:pStyle w:val="FootnoteText"/>
        <w:tabs>
          <w:tab w:val="left" w:pos="255"/>
        </w:tabs>
        <w:spacing w:after="40"/>
        <w:ind w:left="255" w:hanging="255"/>
        <w:jc w:val="both"/>
        <w:rPr>
          <w:rFonts w:cs="Arial"/>
          <w:sz w:val="16"/>
          <w:szCs w:val="16"/>
          <w:lang w:val="en-US"/>
        </w:rPr>
      </w:pPr>
      <w:r w:rsidRPr="0077711F">
        <w:rPr>
          <w:rStyle w:val="FootnoteReference"/>
          <w:rFonts w:cs="Arial"/>
          <w:sz w:val="18"/>
          <w:szCs w:val="18"/>
        </w:rPr>
        <w:footnoteRef/>
      </w:r>
      <w:r w:rsidRPr="0077711F">
        <w:rPr>
          <w:rFonts w:cs="Arial"/>
          <w:sz w:val="18"/>
          <w:szCs w:val="18"/>
        </w:rPr>
        <w:t xml:space="preserve"> </w:t>
      </w:r>
      <w:r>
        <w:rPr>
          <w:rFonts w:cs="Arial"/>
          <w:sz w:val="16"/>
          <w:szCs w:val="16"/>
        </w:rPr>
        <w:tab/>
      </w:r>
      <w:r w:rsidRPr="00F17AD5">
        <w:rPr>
          <w:rFonts w:cs="Arial"/>
          <w:sz w:val="16"/>
          <w:szCs w:val="16"/>
        </w:rPr>
        <w:fldChar w:fldCharType="begin"/>
      </w:r>
      <w:r w:rsidRPr="00F17AD5">
        <w:rPr>
          <w:rFonts w:cs="Arial"/>
          <w:sz w:val="16"/>
          <w:szCs w:val="16"/>
        </w:rPr>
        <w:instrText xml:space="preserve"> ADDIN EN.CITE &lt;EndNote&gt;&lt;Cite&gt;&lt;Author&gt;Wiklund&lt;/Author&gt;&lt;Year&gt;2010&lt;/Year&gt;&lt;RecNum&gt;81&lt;/RecNum&gt;&lt;DisplayText&gt;Wiklund, Bengs, Malmgren-Olsson and Öhman (2010) Young women facing multiple and intersecting stressors of modernity, gender orders and youth. &lt;style face="italic"&gt;Social Science and Medicine&lt;/style&gt;. 71 (9):1567-75&lt;/DisplayText&gt;&lt;record&gt;&lt;rec-number&gt;81&lt;/rec-number&gt;&lt;foreign-keys&gt;&lt;key app="EN" db-id="ssa09sw2ttazvjex2225xtt350ewfx2vadfs"&gt;81&lt;/key&gt;&lt;/foreign-keys&gt;&lt;ref-type name="Journal Article"&gt;17&lt;/ref-type&gt;&lt;contributors&gt;&lt;authors&gt;&lt;author&gt;Wiklund, Maria&lt;/author&gt;&lt;author&gt;Bengs, Carita&lt;/author&gt;&lt;author&gt;Malmgren-Olsson, Eva-Britt&lt;/author&gt;&lt;author&gt;Öhman, Ann&lt;/author&gt;&lt;/authors&gt;&lt;/contributors&gt;&lt;titles&gt;&lt;title&gt;Young women facing multiple and intersecting stressors of modernity, gender orders and youth&lt;/title&gt;&lt;secondary-title&gt;Social Science and Medicine&lt;/secondary-title&gt;&lt;/titles&gt;&lt;periodical&gt;&lt;full-title&gt;Social Science and Medicine&lt;/full-title&gt;&lt;/periodical&gt;&lt;pages&gt;1567-1575&lt;/pages&gt;&lt;volume&gt;71&lt;/volume&gt;&lt;number&gt;9&lt;/number&gt;&lt;keywords&gt;&lt;keyword&gt;PEER pressure&lt;/keyword&gt;&lt;keyword&gt;STRESS (Psychology)&lt;/keyword&gt;&lt;keyword&gt;SOCIAL support&lt;/keyword&gt;&lt;keyword&gt;INTERVIEWS&lt;/keyword&gt;&lt;keyword&gt;SWEDEN&lt;/keyword&gt;&lt;keyword&gt;Adolescents&lt;/keyword&gt;&lt;keyword&gt;Femininity&lt;/keyword&gt;&lt;keyword&gt;Gender&lt;/keyword&gt;&lt;keyword&gt;Qualitative content analysis&lt;/keyword&gt;&lt;keyword&gt;Qualitative method&lt;/keyword&gt;&lt;keyword&gt;Stress&lt;/keyword&gt;&lt;keyword&gt;Young women&lt;/keyword&gt;&lt;keyword&gt;Youth health&lt;/keyword&gt;&lt;/keywords&gt;&lt;dates&gt;&lt;year&gt;2010&lt;/year&gt;&lt;/dates&gt;&lt;isbn&gt;02779536&lt;/isbn&gt;&lt;accession-num&gt;57986857&lt;/accession-num&gt;&lt;urls&gt;&lt;/urls&gt;&lt;electronic-resource-num&gt;10.1016/j.socscimed.2010.08.004&lt;/electronic-resource-num&gt;&lt;remote-database-name&gt;sih&lt;/remote-database-name&gt;&lt;remote-database-provider&gt;EBSCOhost&lt;/remote-database-provider&gt;&lt;/record&gt;&lt;/Cite&gt;&lt;/EndNote&gt;</w:instrText>
      </w:r>
      <w:r w:rsidRPr="00F17AD5">
        <w:rPr>
          <w:rFonts w:cs="Arial"/>
          <w:sz w:val="16"/>
          <w:szCs w:val="16"/>
        </w:rPr>
        <w:fldChar w:fldCharType="separate"/>
      </w:r>
      <w:r w:rsidRPr="00F17AD5">
        <w:rPr>
          <w:rFonts w:cs="Arial"/>
          <w:noProof/>
          <w:sz w:val="16"/>
          <w:szCs w:val="16"/>
        </w:rPr>
        <w:t>Wiklund</w:t>
      </w:r>
      <w:r>
        <w:rPr>
          <w:rFonts w:cs="Arial"/>
          <w:noProof/>
          <w:sz w:val="16"/>
          <w:szCs w:val="16"/>
        </w:rPr>
        <w:t xml:space="preserve"> M</w:t>
      </w:r>
      <w:r w:rsidRPr="00F17AD5">
        <w:rPr>
          <w:rFonts w:cs="Arial"/>
          <w:noProof/>
          <w:sz w:val="16"/>
          <w:szCs w:val="16"/>
        </w:rPr>
        <w:t>, Bengs</w:t>
      </w:r>
      <w:r>
        <w:rPr>
          <w:rFonts w:cs="Arial"/>
          <w:noProof/>
          <w:sz w:val="16"/>
          <w:szCs w:val="16"/>
        </w:rPr>
        <w:t xml:space="preserve"> C</w:t>
      </w:r>
      <w:r w:rsidRPr="00F17AD5">
        <w:rPr>
          <w:rFonts w:cs="Arial"/>
          <w:noProof/>
          <w:sz w:val="16"/>
          <w:szCs w:val="16"/>
        </w:rPr>
        <w:t>, Malmgren-Olsson</w:t>
      </w:r>
      <w:r>
        <w:rPr>
          <w:rFonts w:cs="Arial"/>
          <w:noProof/>
          <w:sz w:val="16"/>
          <w:szCs w:val="16"/>
        </w:rPr>
        <w:t xml:space="preserve"> E-B, </w:t>
      </w:r>
      <w:r w:rsidRPr="00F17AD5">
        <w:rPr>
          <w:rFonts w:cs="Arial"/>
          <w:noProof/>
          <w:sz w:val="16"/>
          <w:szCs w:val="16"/>
        </w:rPr>
        <w:t>Öhman</w:t>
      </w:r>
      <w:r>
        <w:rPr>
          <w:rFonts w:cs="Arial"/>
          <w:noProof/>
          <w:sz w:val="16"/>
          <w:szCs w:val="16"/>
        </w:rPr>
        <w:t xml:space="preserve"> A</w:t>
      </w:r>
      <w:r w:rsidRPr="00F17AD5">
        <w:rPr>
          <w:rFonts w:cs="Arial"/>
          <w:noProof/>
          <w:sz w:val="16"/>
          <w:szCs w:val="16"/>
        </w:rPr>
        <w:t xml:space="preserve"> (2010) Young women facing multiple and intersecting stressors of modernity, gender orders and youth. </w:t>
      </w:r>
      <w:r w:rsidRPr="00F17AD5">
        <w:rPr>
          <w:rFonts w:cs="Arial"/>
          <w:i/>
          <w:noProof/>
          <w:sz w:val="16"/>
          <w:szCs w:val="16"/>
        </w:rPr>
        <w:t>Social Science and Medicine</w:t>
      </w:r>
      <w:r w:rsidRPr="00F17AD5">
        <w:rPr>
          <w:rFonts w:cs="Arial"/>
          <w:noProof/>
          <w:sz w:val="16"/>
          <w:szCs w:val="16"/>
        </w:rPr>
        <w:t>. 71(9):1567-75</w:t>
      </w:r>
      <w:r w:rsidRPr="00F17AD5">
        <w:rPr>
          <w:rFonts w:cs="Arial"/>
          <w:sz w:val="16"/>
          <w:szCs w:val="16"/>
        </w:rPr>
        <w:fldChar w:fldCharType="end"/>
      </w:r>
      <w:r w:rsidRPr="00F17AD5">
        <w:rPr>
          <w:rFonts w:cs="Arial"/>
          <w:sz w:val="16"/>
          <w:szCs w:val="16"/>
        </w:rPr>
        <w:t>, p. 1571</w:t>
      </w:r>
    </w:p>
  </w:footnote>
  <w:footnote w:id="39">
    <w:p w14:paraId="59D50D44" w14:textId="6DEA3B0A" w:rsidR="00B208C1" w:rsidRPr="00F17AD5" w:rsidRDefault="00B208C1" w:rsidP="00244F71">
      <w:pPr>
        <w:pStyle w:val="FootnoteText"/>
        <w:tabs>
          <w:tab w:val="left" w:pos="255"/>
        </w:tabs>
        <w:spacing w:after="40"/>
        <w:ind w:left="255" w:hanging="255"/>
        <w:jc w:val="both"/>
        <w:rPr>
          <w:rFonts w:cs="Arial"/>
          <w:sz w:val="16"/>
          <w:szCs w:val="16"/>
          <w:lang w:val="en-US"/>
        </w:rPr>
      </w:pPr>
      <w:r w:rsidRPr="0077711F">
        <w:rPr>
          <w:rStyle w:val="FootnoteReference"/>
          <w:rFonts w:cs="Arial"/>
          <w:sz w:val="18"/>
          <w:szCs w:val="18"/>
        </w:rPr>
        <w:footnoteRef/>
      </w:r>
      <w:r w:rsidRPr="00F17AD5">
        <w:rPr>
          <w:rFonts w:cs="Arial"/>
          <w:sz w:val="16"/>
          <w:szCs w:val="16"/>
        </w:rPr>
        <w:t xml:space="preserve"> </w:t>
      </w:r>
      <w:r>
        <w:rPr>
          <w:rFonts w:cs="Arial"/>
          <w:sz w:val="16"/>
          <w:szCs w:val="16"/>
        </w:rPr>
        <w:tab/>
      </w:r>
      <w:r w:rsidRPr="00F17AD5">
        <w:rPr>
          <w:rFonts w:cs="Arial"/>
          <w:sz w:val="16"/>
          <w:szCs w:val="16"/>
        </w:rPr>
        <w:fldChar w:fldCharType="begin"/>
      </w:r>
      <w:r w:rsidRPr="00F17AD5">
        <w:rPr>
          <w:rFonts w:cs="Arial"/>
          <w:sz w:val="16"/>
          <w:szCs w:val="16"/>
        </w:rPr>
        <w:instrText xml:space="preserve"> ADDIN EN.CITE &lt;EndNote&gt;&lt;Cite&gt;&lt;Author&gt;Australian Institute of Family Studies&lt;/Author&gt;&lt;Year&gt;2012&lt;/Year&gt;&lt;RecNum&gt;684&lt;/RecNum&gt;&lt;DisplayText&gt;Australian Institute of Family Studies (2012) The housework and homework habits of Australian ten and eleven year-olds. &lt;style face="italic"&gt;Australian Institute of Family Studies Media Release&lt;/style&gt; (Jul 13)&lt;/DisplayText&gt;&lt;record&gt;&lt;rec-number&gt;684&lt;/rec-number&gt;&lt;foreign-keys&gt;&lt;key app="EN" db-id="ssa09sw2ttazvjex2225xtt350ewfx2vadfs"&gt;684&lt;/key&gt;&lt;/foreign-keys&gt;&lt;ref-type name="Journal Article"&gt;17&lt;/ref-type&gt;&lt;contributors&gt;&lt;authors&gt;&lt;author&gt;Australian Institute of Family Studies,&lt;/author&gt;&lt;/authors&gt;&lt;/contributors&gt;&lt;titles&gt;&lt;title&gt;The housework and homework habits of Australian ten and eleven year-olds&lt;/title&gt;&lt;secondary-title&gt;Australian Institute of Family Studies Media Release&lt;/secondary-title&gt;&lt;/titles&gt;&lt;periodical&gt;&lt;full-title&gt;Australian Institute of Family Studies Media Release&lt;/full-title&gt;&lt;/periodical&gt;&lt;number&gt;Jul 13&lt;/number&gt;&lt;dates&gt;&lt;year&gt;2012&lt;/year&gt;&lt;/dates&gt;&lt;urls&gt;&lt;related-urls&gt;&lt;url&gt;https://aifs.gov.au/media-releases/housework-and-homework-habits-australian-ten-and-eleven-year-olds&lt;/url&gt;&lt;/related-urls&gt;&lt;/urls&gt;&lt;/record&gt;&lt;/Cite&gt;&lt;/EndNote&gt;</w:instrText>
      </w:r>
      <w:r w:rsidRPr="00F17AD5">
        <w:rPr>
          <w:rFonts w:cs="Arial"/>
          <w:sz w:val="16"/>
          <w:szCs w:val="16"/>
        </w:rPr>
        <w:fldChar w:fldCharType="separate"/>
      </w:r>
      <w:r w:rsidRPr="00F17AD5">
        <w:rPr>
          <w:rFonts w:cs="Arial"/>
          <w:noProof/>
          <w:sz w:val="16"/>
          <w:szCs w:val="16"/>
        </w:rPr>
        <w:t xml:space="preserve">Australian Institute of Family Studies (2012) The housework and homework habits of Australian ten and eleven year-olds. </w:t>
      </w:r>
      <w:r w:rsidRPr="00F17AD5">
        <w:rPr>
          <w:rFonts w:cs="Arial"/>
          <w:i/>
          <w:noProof/>
          <w:sz w:val="16"/>
          <w:szCs w:val="16"/>
        </w:rPr>
        <w:t>Australian Institute of Family Studies Media Release</w:t>
      </w:r>
      <w:r w:rsidRPr="00F17AD5">
        <w:rPr>
          <w:rFonts w:cs="Arial"/>
          <w:noProof/>
          <w:sz w:val="16"/>
          <w:szCs w:val="16"/>
        </w:rPr>
        <w:t xml:space="preserve"> (Jul 13)</w:t>
      </w:r>
      <w:r w:rsidRPr="00F17AD5">
        <w:rPr>
          <w:rFonts w:cs="Arial"/>
          <w:sz w:val="16"/>
          <w:szCs w:val="16"/>
        </w:rPr>
        <w:fldChar w:fldCharType="end"/>
      </w:r>
      <w:r>
        <w:rPr>
          <w:rFonts w:cs="Arial"/>
          <w:sz w:val="16"/>
          <w:szCs w:val="16"/>
        </w:rPr>
        <w:t>.</w:t>
      </w:r>
      <w:r w:rsidRPr="00F17AD5">
        <w:rPr>
          <w:rFonts w:cs="Arial"/>
          <w:sz w:val="16"/>
          <w:szCs w:val="16"/>
        </w:rPr>
        <w:t xml:space="preserve"> Available from: </w:t>
      </w:r>
      <w:hyperlink r:id="rId31" w:history="1">
        <w:r w:rsidRPr="00F17AD5">
          <w:rPr>
            <w:rStyle w:val="Hyperlink"/>
            <w:rFonts w:cs="Arial"/>
            <w:sz w:val="16"/>
            <w:szCs w:val="16"/>
          </w:rPr>
          <w:t>URL</w:t>
        </w:r>
      </w:hyperlink>
    </w:p>
  </w:footnote>
  <w:footnote w:id="40">
    <w:p w14:paraId="5D48198B" w14:textId="77777777" w:rsidR="00B208C1" w:rsidRPr="00F17AD5" w:rsidRDefault="00B208C1" w:rsidP="00B3212C">
      <w:pPr>
        <w:pStyle w:val="FootnoteText"/>
        <w:tabs>
          <w:tab w:val="left" w:pos="255"/>
        </w:tabs>
        <w:spacing w:after="40"/>
        <w:ind w:left="255" w:hanging="255"/>
        <w:jc w:val="both"/>
        <w:rPr>
          <w:rFonts w:cs="Arial"/>
          <w:sz w:val="16"/>
          <w:szCs w:val="16"/>
          <w:lang w:val="en-US"/>
        </w:rPr>
      </w:pPr>
      <w:r w:rsidRPr="0077711F">
        <w:rPr>
          <w:rStyle w:val="FootnoteReference"/>
          <w:rFonts w:cs="Arial"/>
          <w:sz w:val="18"/>
          <w:szCs w:val="18"/>
        </w:rPr>
        <w:footnoteRef/>
      </w:r>
      <w:r w:rsidRPr="0077711F">
        <w:rPr>
          <w:rFonts w:cs="Arial"/>
          <w:sz w:val="18"/>
          <w:szCs w:val="18"/>
        </w:rPr>
        <w:t xml:space="preserve"> </w:t>
      </w:r>
      <w:r>
        <w:rPr>
          <w:rFonts w:cs="Arial"/>
          <w:sz w:val="16"/>
          <w:szCs w:val="16"/>
        </w:rPr>
        <w:tab/>
      </w:r>
      <w:r w:rsidRPr="00F17AD5">
        <w:rPr>
          <w:rFonts w:cs="Arial"/>
          <w:sz w:val="16"/>
          <w:szCs w:val="16"/>
        </w:rPr>
        <w:fldChar w:fldCharType="begin"/>
      </w:r>
      <w:r w:rsidRPr="00F17AD5">
        <w:rPr>
          <w:rFonts w:cs="Arial"/>
          <w:sz w:val="16"/>
          <w:szCs w:val="16"/>
        </w:rPr>
        <w:instrText xml:space="preserve"> ADDIN EN.CITE &lt;EndNote&gt;&lt;Cite&gt;&lt;Author&gt;IPSOS Australia&lt;/Author&gt;&lt;Year&gt;2016&lt;/Year&gt;&lt;RecNum&gt;675&lt;/RecNum&gt;&lt;DisplayText&gt;IPSOS Australia (2016) Everyday sexism : girls’ and young women’s views on gender inequality in Australia&lt;/DisplayText&gt;&lt;record&gt;&lt;rec-number&gt;675&lt;/rec-number&gt;&lt;foreign-keys&gt;&lt;key app="EN" db-id="ssa09sw2ttazvjex2225xtt350ewfx2vadfs"&gt;675&lt;/key&gt;&lt;/foreign-keys&gt;&lt;ref-type name="Book"&gt;6&lt;/ref-type&gt;&lt;contributors&gt;&lt;authors&gt;&lt;author&gt;IPSOS Australia,&lt;/author&gt;&lt;/authors&gt;&lt;/contributors&gt;&lt;titles&gt;&lt;title&gt;Everyday sexism : girls’ and young women’s views on gender inequality in Australia&lt;/title&gt;&lt;/titles&gt;&lt;dates&gt;&lt;year&gt;2016&lt;/year&gt;&lt;/dates&gt;&lt;pub-location&gt;Melbourne&lt;/pub-location&gt;&lt;publisher&gt;Plan International Australia; Our Watch&lt;/publisher&gt;&lt;urls&gt;&lt;related-urls&gt;&lt;url&gt;http://www.ourwatch.org.au/getmedia/1ee3e574-ce66-4acb-b8ef-186640c9d018/Everyday-Sexism_version_03.pdf.aspx&lt;/url&gt;&lt;/related-urls&gt;&lt;/urls&gt;&lt;/record&gt;&lt;/Cite&gt;&lt;/EndNote&gt;</w:instrText>
      </w:r>
      <w:r w:rsidRPr="00F17AD5">
        <w:rPr>
          <w:rFonts w:cs="Arial"/>
          <w:sz w:val="16"/>
          <w:szCs w:val="16"/>
        </w:rPr>
        <w:fldChar w:fldCharType="separate"/>
      </w:r>
      <w:r w:rsidRPr="00F17AD5">
        <w:rPr>
          <w:rFonts w:cs="Arial"/>
          <w:noProof/>
          <w:sz w:val="16"/>
          <w:szCs w:val="16"/>
        </w:rPr>
        <w:t>IPSOS Australia (2016) Everyday sexism: girls’ and young women’s views on gender inequality in Australia</w:t>
      </w:r>
      <w:r w:rsidRPr="00F17AD5">
        <w:rPr>
          <w:rFonts w:cs="Arial"/>
          <w:sz w:val="16"/>
          <w:szCs w:val="16"/>
        </w:rPr>
        <w:fldChar w:fldCharType="end"/>
      </w:r>
      <w:r>
        <w:rPr>
          <w:rFonts w:cs="Arial"/>
          <w:sz w:val="16"/>
          <w:szCs w:val="16"/>
        </w:rPr>
        <w:t xml:space="preserve">. </w:t>
      </w:r>
      <w:r w:rsidRPr="00B224FC">
        <w:rPr>
          <w:rFonts w:cs="Arial"/>
          <w:sz w:val="16"/>
          <w:szCs w:val="16"/>
        </w:rPr>
        <w:t>Plan International Australia; Our Watch, Melbourne,</w:t>
      </w:r>
      <w:r w:rsidRPr="00F17AD5">
        <w:rPr>
          <w:rFonts w:cs="Arial"/>
          <w:sz w:val="16"/>
          <w:szCs w:val="16"/>
        </w:rPr>
        <w:t xml:space="preserve"> p. 20. Available from: </w:t>
      </w:r>
      <w:hyperlink r:id="rId32" w:history="1">
        <w:r w:rsidRPr="00F17AD5">
          <w:rPr>
            <w:rStyle w:val="Hyperlink"/>
            <w:rFonts w:cs="Arial"/>
            <w:sz w:val="16"/>
            <w:szCs w:val="16"/>
          </w:rPr>
          <w:t>URL</w:t>
        </w:r>
      </w:hyperlink>
    </w:p>
  </w:footnote>
  <w:footnote w:id="41">
    <w:p w14:paraId="66634011" w14:textId="1F20325B" w:rsidR="00B208C1" w:rsidRPr="001009F2" w:rsidRDefault="00B208C1" w:rsidP="00244F71">
      <w:pPr>
        <w:tabs>
          <w:tab w:val="left" w:pos="255"/>
        </w:tabs>
        <w:spacing w:after="40" w:line="240" w:lineRule="auto"/>
        <w:ind w:left="255" w:hanging="255"/>
        <w:jc w:val="both"/>
        <w:rPr>
          <w:rFonts w:ascii="Arial" w:hAnsi="Arial" w:cs="Arial"/>
          <w:sz w:val="16"/>
          <w:szCs w:val="16"/>
          <w:lang w:val="en-US"/>
        </w:rPr>
      </w:pPr>
      <w:r w:rsidRPr="00F70171">
        <w:rPr>
          <w:rStyle w:val="FootnoteReference"/>
          <w:rFonts w:ascii="Arial" w:hAnsi="Arial" w:cs="Arial"/>
          <w:sz w:val="18"/>
          <w:szCs w:val="18"/>
        </w:rPr>
        <w:footnoteRef/>
      </w:r>
      <w:r w:rsidRPr="001009F2">
        <w:rPr>
          <w:rFonts w:ascii="Arial" w:hAnsi="Arial" w:cs="Arial"/>
          <w:sz w:val="16"/>
          <w:szCs w:val="16"/>
        </w:rPr>
        <w:t xml:space="preserve"> </w:t>
      </w:r>
      <w:r>
        <w:rPr>
          <w:rFonts w:ascii="Arial" w:hAnsi="Arial" w:cs="Arial"/>
          <w:sz w:val="16"/>
          <w:szCs w:val="16"/>
        </w:rPr>
        <w:tab/>
      </w:r>
      <w:r w:rsidRPr="001009F2">
        <w:rPr>
          <w:rFonts w:ascii="Arial" w:hAnsi="Arial" w:cs="Arial"/>
          <w:sz w:val="16"/>
          <w:szCs w:val="16"/>
        </w:rPr>
        <w:fldChar w:fldCharType="begin"/>
      </w:r>
      <w:r w:rsidRPr="001009F2">
        <w:rPr>
          <w:rFonts w:ascii="Arial" w:hAnsi="Arial" w:cs="Arial"/>
          <w:sz w:val="16"/>
          <w:szCs w:val="16"/>
        </w:rPr>
        <w:instrText xml:space="preserve"> ADDIN EN.CITE &lt;EndNote&gt;&lt;Cite&gt;&lt;Author&gt;Leonard&lt;/Author&gt;&lt;Year&gt;2010&lt;/Year&gt;&lt;RecNum&gt;789&lt;/RecNum&gt;&lt;DisplayText&gt;Leonard, Marshall, Hillier, Mitchell and Ward (2010) Beyond homophobia : meeting the needs of same sex attracted and gender questioning (SSAGQ) young people in Victoria : a policy blueprint&lt;/DisplayText&gt;&lt;record&gt;&lt;rec-number&gt;789&lt;/rec-number&gt;&lt;foreign-keys&gt;&lt;key app="EN" db-id="ssa09sw2ttazvjex2225xtt350ewfx2vadfs"&gt;789&lt;/key&gt;&lt;/foreign-keys&gt;&lt;ref-type name="Book"&gt;6&lt;/ref-type&gt;&lt;contributors&gt;&lt;authors&gt;&lt;author&gt;Leonard, William&lt;/author&gt;&lt;author&gt;Marshall, Daniel&lt;/author&gt;&lt;author&gt;Hillier, Lynne&lt;/author&gt;&lt;author&gt;Mitchell, Anne&lt;/author&gt;&lt;author&gt;Ward, Roz&lt;/author&gt;&lt;/authors&gt;&lt;/contributors&gt;&lt;titles&gt;&lt;title&gt;Beyond homophobia : meeting the needs of same sex attracted and gender questioning (SSAGQ) young people in Victoria : a policy blueprint&lt;/title&gt;&lt;secondary-title&gt;Monograph Series; 75)&lt;/secondary-title&gt;&lt;/titles&gt;&lt;dates&gt;&lt;year&gt;2010&lt;/year&gt;&lt;/dates&gt;&lt;pub-location&gt;Melbourne&lt;/pub-location&gt;&lt;publisher&gt;LaTrobe University. Australian Research Centre in Sex, Health and Society&lt;/publisher&gt;&lt;urls&gt;&lt;related-urls&gt;&lt;url&gt;http://www.glhv.org.au/files/BeyondHomophobia-Small.pdf&lt;/url&gt;&lt;/related-urls&gt;&lt;/urls&gt;&lt;/record&gt;&lt;/Cite&gt;&lt;/EndNote&gt;</w:instrText>
      </w:r>
      <w:r w:rsidRPr="001009F2">
        <w:rPr>
          <w:rFonts w:ascii="Arial" w:hAnsi="Arial" w:cs="Arial"/>
          <w:sz w:val="16"/>
          <w:szCs w:val="16"/>
        </w:rPr>
        <w:fldChar w:fldCharType="separate"/>
      </w:r>
      <w:r w:rsidRPr="001009F2">
        <w:rPr>
          <w:rFonts w:ascii="Arial" w:hAnsi="Arial" w:cs="Arial"/>
          <w:noProof/>
          <w:sz w:val="16"/>
          <w:szCs w:val="16"/>
        </w:rPr>
        <w:t>Leonard</w:t>
      </w:r>
      <w:r>
        <w:rPr>
          <w:rFonts w:ascii="Arial" w:hAnsi="Arial" w:cs="Arial"/>
          <w:noProof/>
          <w:sz w:val="16"/>
          <w:szCs w:val="16"/>
        </w:rPr>
        <w:t xml:space="preserve"> W</w:t>
      </w:r>
      <w:r w:rsidRPr="001009F2">
        <w:rPr>
          <w:rFonts w:ascii="Arial" w:hAnsi="Arial" w:cs="Arial"/>
          <w:noProof/>
          <w:sz w:val="16"/>
          <w:szCs w:val="16"/>
        </w:rPr>
        <w:t>, Marshall</w:t>
      </w:r>
      <w:r>
        <w:rPr>
          <w:rFonts w:ascii="Arial" w:hAnsi="Arial" w:cs="Arial"/>
          <w:noProof/>
          <w:sz w:val="16"/>
          <w:szCs w:val="16"/>
        </w:rPr>
        <w:t xml:space="preserve"> D</w:t>
      </w:r>
      <w:r w:rsidRPr="001009F2">
        <w:rPr>
          <w:rFonts w:ascii="Arial" w:hAnsi="Arial" w:cs="Arial"/>
          <w:noProof/>
          <w:sz w:val="16"/>
          <w:szCs w:val="16"/>
        </w:rPr>
        <w:t>, Hillier</w:t>
      </w:r>
      <w:r>
        <w:rPr>
          <w:rFonts w:ascii="Arial" w:hAnsi="Arial" w:cs="Arial"/>
          <w:noProof/>
          <w:sz w:val="16"/>
          <w:szCs w:val="16"/>
        </w:rPr>
        <w:t xml:space="preserve"> L</w:t>
      </w:r>
      <w:r w:rsidRPr="001009F2">
        <w:rPr>
          <w:rFonts w:ascii="Arial" w:hAnsi="Arial" w:cs="Arial"/>
          <w:noProof/>
          <w:sz w:val="16"/>
          <w:szCs w:val="16"/>
        </w:rPr>
        <w:t>, Mitchell</w:t>
      </w:r>
      <w:r>
        <w:rPr>
          <w:rFonts w:ascii="Arial" w:hAnsi="Arial" w:cs="Arial"/>
          <w:noProof/>
          <w:sz w:val="16"/>
          <w:szCs w:val="16"/>
        </w:rPr>
        <w:t xml:space="preserve"> A, </w:t>
      </w:r>
      <w:r w:rsidRPr="001009F2">
        <w:rPr>
          <w:rFonts w:ascii="Arial" w:hAnsi="Arial" w:cs="Arial"/>
          <w:noProof/>
          <w:sz w:val="16"/>
          <w:szCs w:val="16"/>
        </w:rPr>
        <w:t>Ward</w:t>
      </w:r>
      <w:r>
        <w:rPr>
          <w:rFonts w:ascii="Arial" w:hAnsi="Arial" w:cs="Arial"/>
          <w:noProof/>
          <w:sz w:val="16"/>
          <w:szCs w:val="16"/>
        </w:rPr>
        <w:t xml:space="preserve"> R</w:t>
      </w:r>
      <w:r w:rsidRPr="001009F2">
        <w:rPr>
          <w:rFonts w:ascii="Arial" w:hAnsi="Arial" w:cs="Arial"/>
          <w:noProof/>
          <w:sz w:val="16"/>
          <w:szCs w:val="16"/>
        </w:rPr>
        <w:t xml:space="preserve"> (2010) Beyond homophobia: meeting the needs of same sex attracted and gender questioning (SSAGQ) young people in Victoria : a policy blueprint</w:t>
      </w:r>
      <w:r w:rsidRPr="001009F2">
        <w:rPr>
          <w:rFonts w:ascii="Arial" w:hAnsi="Arial" w:cs="Arial"/>
          <w:sz w:val="16"/>
          <w:szCs w:val="16"/>
        </w:rPr>
        <w:fldChar w:fldCharType="end"/>
      </w:r>
      <w:r>
        <w:rPr>
          <w:rFonts w:ascii="Arial" w:hAnsi="Arial" w:cs="Arial"/>
          <w:sz w:val="16"/>
          <w:szCs w:val="16"/>
        </w:rPr>
        <w:t xml:space="preserve">. </w:t>
      </w:r>
      <w:r w:rsidRPr="00F70171">
        <w:rPr>
          <w:rFonts w:ascii="Arial" w:hAnsi="Arial" w:cs="Arial"/>
          <w:sz w:val="16"/>
          <w:szCs w:val="16"/>
        </w:rPr>
        <w:t>Australian Research Centre in Sex, Health &amp; Society, La Trobe University</w:t>
      </w:r>
      <w:r w:rsidRPr="001009F2">
        <w:rPr>
          <w:rFonts w:ascii="Arial" w:hAnsi="Arial" w:cs="Arial"/>
          <w:sz w:val="16"/>
          <w:szCs w:val="16"/>
        </w:rPr>
        <w:t xml:space="preserve">, p. 11. Available from: </w:t>
      </w:r>
      <w:hyperlink r:id="rId33" w:history="1">
        <w:r w:rsidRPr="001009F2">
          <w:rPr>
            <w:rStyle w:val="Hyperlink"/>
            <w:rFonts w:ascii="Arial" w:hAnsi="Arial" w:cs="Arial"/>
            <w:sz w:val="16"/>
            <w:szCs w:val="16"/>
          </w:rPr>
          <w:t>URL</w:t>
        </w:r>
      </w:hyperlink>
    </w:p>
  </w:footnote>
  <w:footnote w:id="42">
    <w:p w14:paraId="089DC56A" w14:textId="6AE8B00C" w:rsidR="00B208C1" w:rsidRPr="001009F2" w:rsidRDefault="00B208C1" w:rsidP="00244F71">
      <w:pPr>
        <w:pStyle w:val="FootnoteText"/>
        <w:tabs>
          <w:tab w:val="left" w:pos="255"/>
        </w:tabs>
        <w:spacing w:after="40"/>
        <w:ind w:left="255" w:hanging="255"/>
        <w:jc w:val="both"/>
        <w:rPr>
          <w:rFonts w:cs="Arial"/>
          <w:sz w:val="16"/>
          <w:szCs w:val="16"/>
        </w:rPr>
      </w:pPr>
      <w:r w:rsidRPr="00F70171">
        <w:rPr>
          <w:rStyle w:val="FootnoteReference"/>
          <w:rFonts w:cs="Arial"/>
          <w:sz w:val="18"/>
          <w:szCs w:val="18"/>
        </w:rPr>
        <w:footnoteRef/>
      </w:r>
      <w:r w:rsidRPr="001009F2">
        <w:rPr>
          <w:rFonts w:cs="Arial"/>
          <w:sz w:val="16"/>
          <w:szCs w:val="16"/>
        </w:rPr>
        <w:t xml:space="preserve"> </w:t>
      </w:r>
      <w:r>
        <w:rPr>
          <w:rFonts w:cs="Arial"/>
          <w:sz w:val="16"/>
          <w:szCs w:val="16"/>
        </w:rPr>
        <w:tab/>
      </w:r>
      <w:r w:rsidRPr="001009F2">
        <w:rPr>
          <w:rFonts w:eastAsia="Times New Roman" w:cs="Arial"/>
          <w:sz w:val="16"/>
          <w:szCs w:val="16"/>
        </w:rPr>
        <w:t>Redmond G</w:t>
      </w:r>
      <w:r>
        <w:rPr>
          <w:rFonts w:eastAsia="Times New Roman" w:cs="Arial"/>
          <w:sz w:val="16"/>
          <w:szCs w:val="16"/>
        </w:rPr>
        <w:t xml:space="preserve">, </w:t>
      </w:r>
      <w:r w:rsidRPr="001009F2">
        <w:rPr>
          <w:rFonts w:eastAsia="Times New Roman" w:cs="Arial"/>
          <w:sz w:val="16"/>
          <w:szCs w:val="16"/>
        </w:rPr>
        <w:t>Hamilton, M</w:t>
      </w:r>
      <w:r>
        <w:rPr>
          <w:rFonts w:eastAsia="Times New Roman" w:cs="Arial"/>
          <w:sz w:val="16"/>
          <w:szCs w:val="16"/>
        </w:rPr>
        <w:t xml:space="preserve"> (</w:t>
      </w:r>
      <w:r w:rsidRPr="001009F2">
        <w:rPr>
          <w:rFonts w:eastAsia="Times New Roman" w:cs="Arial"/>
          <w:sz w:val="16"/>
          <w:szCs w:val="16"/>
        </w:rPr>
        <w:t>2019</w:t>
      </w:r>
      <w:r>
        <w:rPr>
          <w:rFonts w:eastAsia="Times New Roman" w:cs="Arial"/>
          <w:sz w:val="16"/>
          <w:szCs w:val="16"/>
        </w:rPr>
        <w:t xml:space="preserve">) </w:t>
      </w:r>
      <w:r w:rsidRPr="001009F2">
        <w:rPr>
          <w:rFonts w:eastAsia="Times New Roman" w:cs="Arial"/>
          <w:sz w:val="16"/>
          <w:szCs w:val="16"/>
        </w:rPr>
        <w:t>Are young carers less engaged in school than non-carers?</w:t>
      </w:r>
      <w:r>
        <w:rPr>
          <w:rFonts w:eastAsia="Times New Roman" w:cs="Arial"/>
          <w:sz w:val="16"/>
          <w:szCs w:val="16"/>
        </w:rPr>
        <w:t>:</w:t>
      </w:r>
      <w:r w:rsidRPr="001009F2">
        <w:rPr>
          <w:rFonts w:eastAsia="Times New Roman" w:cs="Arial"/>
          <w:sz w:val="16"/>
          <w:szCs w:val="16"/>
        </w:rPr>
        <w:t xml:space="preserve"> </w:t>
      </w:r>
      <w:r>
        <w:rPr>
          <w:rFonts w:eastAsia="Times New Roman" w:cs="Arial"/>
          <w:sz w:val="16"/>
          <w:szCs w:val="16"/>
        </w:rPr>
        <w:t>e</w:t>
      </w:r>
      <w:r w:rsidRPr="001009F2">
        <w:rPr>
          <w:rFonts w:eastAsia="Times New Roman" w:cs="Arial"/>
          <w:sz w:val="16"/>
          <w:szCs w:val="16"/>
        </w:rPr>
        <w:t>vidence from a representative Australian study</w:t>
      </w:r>
      <w:r>
        <w:rPr>
          <w:rFonts w:eastAsia="Times New Roman" w:cs="Arial"/>
          <w:sz w:val="16"/>
          <w:szCs w:val="16"/>
        </w:rPr>
        <w:t xml:space="preserve">. </w:t>
      </w:r>
      <w:r w:rsidRPr="00F70171">
        <w:rPr>
          <w:rFonts w:eastAsia="Times New Roman" w:cs="Arial"/>
          <w:i/>
          <w:iCs/>
          <w:sz w:val="16"/>
          <w:szCs w:val="16"/>
        </w:rPr>
        <w:t>Child Indicators Research</w:t>
      </w:r>
      <w:r w:rsidRPr="001009F2">
        <w:rPr>
          <w:rFonts w:eastAsia="Times New Roman" w:cs="Arial"/>
          <w:sz w:val="16"/>
          <w:szCs w:val="16"/>
        </w:rPr>
        <w:t xml:space="preserve"> </w:t>
      </w:r>
      <w:r>
        <w:rPr>
          <w:rFonts w:eastAsia="Times New Roman" w:cs="Arial"/>
          <w:sz w:val="16"/>
          <w:szCs w:val="16"/>
        </w:rPr>
        <w:t xml:space="preserve">13(1):33-49. Available from: </w:t>
      </w:r>
      <w:hyperlink r:id="rId34" w:history="1">
        <w:r w:rsidRPr="00F70171">
          <w:rPr>
            <w:rStyle w:val="Hyperlink"/>
            <w:rFonts w:eastAsia="Times New Roman" w:cs="Arial"/>
            <w:sz w:val="16"/>
            <w:szCs w:val="16"/>
          </w:rPr>
          <w:t>URL</w:t>
        </w:r>
      </w:hyperlink>
    </w:p>
  </w:footnote>
  <w:footnote w:id="43">
    <w:p w14:paraId="27AB22F0" w14:textId="0E175A28" w:rsidR="00B208C1" w:rsidRPr="001009F2" w:rsidRDefault="00B208C1" w:rsidP="00244F71">
      <w:pPr>
        <w:pStyle w:val="FootnoteText"/>
        <w:tabs>
          <w:tab w:val="left" w:pos="255"/>
        </w:tabs>
        <w:spacing w:after="40"/>
        <w:ind w:left="255" w:hanging="255"/>
        <w:jc w:val="both"/>
        <w:rPr>
          <w:rFonts w:cs="Arial"/>
        </w:rPr>
      </w:pPr>
      <w:r w:rsidRPr="00F70171">
        <w:rPr>
          <w:rStyle w:val="FootnoteReference"/>
          <w:rFonts w:cs="Arial"/>
          <w:sz w:val="18"/>
          <w:szCs w:val="18"/>
        </w:rPr>
        <w:footnoteRef/>
      </w:r>
      <w:r w:rsidRPr="001009F2">
        <w:rPr>
          <w:rFonts w:cs="Arial"/>
          <w:sz w:val="16"/>
          <w:szCs w:val="16"/>
        </w:rPr>
        <w:t xml:space="preserve"> </w:t>
      </w:r>
      <w:r>
        <w:rPr>
          <w:rFonts w:cs="Arial"/>
          <w:sz w:val="16"/>
          <w:szCs w:val="16"/>
        </w:rPr>
        <w:tab/>
      </w:r>
      <w:r>
        <w:rPr>
          <w:rFonts w:eastAsia="Times New Roman" w:cs="Arial"/>
          <w:sz w:val="16"/>
          <w:szCs w:val="16"/>
        </w:rPr>
        <w:t xml:space="preserve">ibid. Available from: </w:t>
      </w:r>
      <w:hyperlink r:id="rId35" w:history="1">
        <w:r w:rsidRPr="00F70171">
          <w:rPr>
            <w:rStyle w:val="Hyperlink"/>
            <w:rFonts w:eastAsia="Times New Roman" w:cs="Arial"/>
            <w:sz w:val="16"/>
            <w:szCs w:val="16"/>
          </w:rPr>
          <w:t>URL</w:t>
        </w:r>
      </w:hyperlink>
    </w:p>
  </w:footnote>
  <w:footnote w:id="44">
    <w:p w14:paraId="6B682A33" w14:textId="0F00E0EF" w:rsidR="00B208C1" w:rsidRPr="001009F2" w:rsidRDefault="00B208C1" w:rsidP="00244F71">
      <w:pPr>
        <w:pStyle w:val="FootnoteText"/>
        <w:tabs>
          <w:tab w:val="left" w:pos="255"/>
        </w:tabs>
        <w:spacing w:after="40"/>
        <w:ind w:left="255" w:hanging="255"/>
        <w:jc w:val="both"/>
        <w:rPr>
          <w:rFonts w:cs="Arial"/>
          <w:sz w:val="16"/>
          <w:szCs w:val="16"/>
        </w:rPr>
      </w:pPr>
      <w:r w:rsidRPr="00F70171">
        <w:rPr>
          <w:rStyle w:val="FootnoteReference"/>
          <w:rFonts w:cs="Arial"/>
          <w:sz w:val="18"/>
          <w:szCs w:val="18"/>
        </w:rPr>
        <w:footnoteRef/>
      </w:r>
      <w:r w:rsidRPr="001009F2">
        <w:rPr>
          <w:rFonts w:cs="Arial"/>
          <w:sz w:val="16"/>
          <w:szCs w:val="16"/>
        </w:rPr>
        <w:t xml:space="preserve"> </w:t>
      </w:r>
      <w:r>
        <w:rPr>
          <w:rFonts w:cs="Arial"/>
          <w:sz w:val="16"/>
          <w:szCs w:val="16"/>
        </w:rPr>
        <w:tab/>
      </w:r>
      <w:r w:rsidRPr="00F17AD5">
        <w:rPr>
          <w:rFonts w:cs="Arial"/>
          <w:sz w:val="16"/>
          <w:szCs w:val="16"/>
        </w:rPr>
        <w:t xml:space="preserve">Tiller E, Fildes J, Hall S, Hicking V, Greenland N, Liyanarachchi D, </w:t>
      </w:r>
      <w:r>
        <w:rPr>
          <w:rFonts w:cs="Arial"/>
          <w:sz w:val="16"/>
          <w:szCs w:val="16"/>
        </w:rPr>
        <w:t>et al. (2020)</w:t>
      </w:r>
      <w:r w:rsidRPr="003061B9">
        <w:rPr>
          <w:rFonts w:cs="Arial"/>
          <w:sz w:val="16"/>
          <w:szCs w:val="16"/>
        </w:rPr>
        <w:t xml:space="preserve"> Youth Survey Report 2020</w:t>
      </w:r>
      <w:r>
        <w:rPr>
          <w:rFonts w:cs="Arial"/>
          <w:sz w:val="16"/>
          <w:szCs w:val="16"/>
        </w:rPr>
        <w:t xml:space="preserve">. Mission Australia. Sydney. Available from: </w:t>
      </w:r>
      <w:hyperlink r:id="rId36" w:history="1">
        <w:r w:rsidRPr="003061B9">
          <w:rPr>
            <w:rStyle w:val="Hyperlink"/>
            <w:rFonts w:cs="Arial"/>
            <w:sz w:val="16"/>
            <w:szCs w:val="16"/>
          </w:rPr>
          <w:t>URL</w:t>
        </w:r>
      </w:hyperlink>
    </w:p>
  </w:footnote>
  <w:footnote w:id="45">
    <w:p w14:paraId="1627DEA4" w14:textId="74EF6B09" w:rsidR="00B208C1" w:rsidRPr="001009F2" w:rsidRDefault="00B208C1" w:rsidP="00244F71">
      <w:pPr>
        <w:pStyle w:val="FootnoteText"/>
        <w:tabs>
          <w:tab w:val="left" w:pos="255"/>
        </w:tabs>
        <w:spacing w:after="40"/>
        <w:ind w:left="255" w:hanging="255"/>
        <w:jc w:val="both"/>
        <w:rPr>
          <w:rFonts w:cs="Arial"/>
          <w:sz w:val="16"/>
          <w:szCs w:val="16"/>
          <w:lang w:val="en-US"/>
        </w:rPr>
      </w:pPr>
      <w:r w:rsidRPr="00F70171">
        <w:rPr>
          <w:rStyle w:val="FootnoteReference"/>
          <w:rFonts w:cs="Arial"/>
          <w:sz w:val="18"/>
          <w:szCs w:val="18"/>
        </w:rPr>
        <w:footnoteRef/>
      </w:r>
      <w:r>
        <w:rPr>
          <w:rFonts w:cs="Arial"/>
          <w:sz w:val="16"/>
          <w:szCs w:val="16"/>
        </w:rPr>
        <w:tab/>
      </w:r>
      <w:r w:rsidRPr="00F17AD5">
        <w:rPr>
          <w:rFonts w:cs="Arial"/>
          <w:sz w:val="16"/>
          <w:szCs w:val="16"/>
        </w:rPr>
        <w:fldChar w:fldCharType="begin"/>
      </w:r>
      <w:r w:rsidRPr="00F17AD5">
        <w:rPr>
          <w:rFonts w:cs="Arial"/>
          <w:sz w:val="16"/>
          <w:szCs w:val="16"/>
        </w:rPr>
        <w:instrText xml:space="preserve"> ADDIN EN.CITE &lt;EndNote&gt;&lt;Cite&gt;&lt;Author&gt;IPSOS Australia&lt;/Author&gt;&lt;Year&gt;2016&lt;/Year&gt;&lt;RecNum&gt;675&lt;/RecNum&gt;&lt;DisplayText&gt;IPSOS Australia (2016) Everyday sexism : girls’ and young women’s views on gender inequality in Australia&lt;/DisplayText&gt;&lt;record&gt;&lt;rec-number&gt;675&lt;/rec-number&gt;&lt;foreign-keys&gt;&lt;key app="EN" db-id="ssa09sw2ttazvjex2225xtt350ewfx2vadfs"&gt;675&lt;/key&gt;&lt;/foreign-keys&gt;&lt;ref-type name="Book"&gt;6&lt;/ref-type&gt;&lt;contributors&gt;&lt;authors&gt;&lt;author&gt;IPSOS Australia,&lt;/author&gt;&lt;/authors&gt;&lt;/contributors&gt;&lt;titles&gt;&lt;title&gt;Everyday sexism : girls’ and young women’s views on gender inequality in Australia&lt;/title&gt;&lt;/titles&gt;&lt;dates&gt;&lt;year&gt;2016&lt;/year&gt;&lt;/dates&gt;&lt;pub-location&gt;Melbourne&lt;/pub-location&gt;&lt;publisher&gt;Plan International Australia; Our Watch&lt;/publisher&gt;&lt;urls&gt;&lt;related-urls&gt;&lt;url&gt;http://www.ourwatch.org.au/getmedia/1ee3e574-ce66-4acb-b8ef-186640c9d018/Everyday-Sexism_version_03.pdf.aspx&lt;/url&gt;&lt;/related-urls&gt;&lt;/urls&gt;&lt;/record&gt;&lt;/Cite&gt;&lt;/EndNote&gt;</w:instrText>
      </w:r>
      <w:r w:rsidRPr="00F17AD5">
        <w:rPr>
          <w:rFonts w:cs="Arial"/>
          <w:sz w:val="16"/>
          <w:szCs w:val="16"/>
        </w:rPr>
        <w:fldChar w:fldCharType="separate"/>
      </w:r>
      <w:r w:rsidRPr="00F17AD5">
        <w:rPr>
          <w:rFonts w:cs="Arial"/>
          <w:noProof/>
          <w:sz w:val="16"/>
          <w:szCs w:val="16"/>
        </w:rPr>
        <w:t>IPSOS Australia (2016) Everyday sexism: girls’ and young women’s views on gender inequality in Australia</w:t>
      </w:r>
      <w:r w:rsidRPr="00F17AD5">
        <w:rPr>
          <w:rFonts w:cs="Arial"/>
          <w:sz w:val="16"/>
          <w:szCs w:val="16"/>
        </w:rPr>
        <w:fldChar w:fldCharType="end"/>
      </w:r>
      <w:r>
        <w:rPr>
          <w:rFonts w:cs="Arial"/>
          <w:sz w:val="16"/>
          <w:szCs w:val="16"/>
        </w:rPr>
        <w:t xml:space="preserve">. </w:t>
      </w:r>
      <w:r w:rsidRPr="00B224FC">
        <w:rPr>
          <w:rFonts w:cs="Arial"/>
          <w:sz w:val="16"/>
          <w:szCs w:val="16"/>
        </w:rPr>
        <w:t>Plan International Australia; Our Watch, Melbourne,</w:t>
      </w:r>
      <w:r w:rsidRPr="00F17AD5">
        <w:rPr>
          <w:rFonts w:cs="Arial"/>
          <w:sz w:val="16"/>
          <w:szCs w:val="16"/>
        </w:rPr>
        <w:t xml:space="preserve"> p. 20. Available from: </w:t>
      </w:r>
      <w:hyperlink r:id="rId37" w:history="1">
        <w:r w:rsidRPr="00F17AD5">
          <w:rPr>
            <w:rStyle w:val="Hyperlink"/>
            <w:rFonts w:cs="Arial"/>
            <w:sz w:val="16"/>
            <w:szCs w:val="16"/>
          </w:rPr>
          <w:t>URL</w:t>
        </w:r>
      </w:hyperlink>
    </w:p>
  </w:footnote>
  <w:footnote w:id="46">
    <w:p w14:paraId="1294F3A7" w14:textId="31389BF6" w:rsidR="00B208C1" w:rsidRPr="001009F2" w:rsidRDefault="00B208C1" w:rsidP="00244F71">
      <w:pPr>
        <w:pStyle w:val="FootnoteText"/>
        <w:tabs>
          <w:tab w:val="left" w:pos="255"/>
        </w:tabs>
        <w:spacing w:after="40"/>
        <w:ind w:left="255" w:hanging="255"/>
        <w:jc w:val="both"/>
        <w:rPr>
          <w:rFonts w:cs="Arial"/>
          <w:sz w:val="16"/>
          <w:szCs w:val="16"/>
        </w:rPr>
      </w:pPr>
      <w:r w:rsidRPr="00F70171">
        <w:rPr>
          <w:rStyle w:val="FootnoteReference"/>
          <w:rFonts w:cs="Arial"/>
          <w:sz w:val="18"/>
          <w:szCs w:val="18"/>
        </w:rPr>
        <w:footnoteRef/>
      </w:r>
      <w:r w:rsidRPr="001009F2">
        <w:rPr>
          <w:rFonts w:cs="Arial"/>
          <w:sz w:val="16"/>
          <w:szCs w:val="16"/>
        </w:rPr>
        <w:t xml:space="preserve"> </w:t>
      </w:r>
      <w:r>
        <w:rPr>
          <w:rFonts w:cs="Arial"/>
          <w:sz w:val="16"/>
          <w:szCs w:val="16"/>
        </w:rPr>
        <w:tab/>
      </w:r>
      <w:r w:rsidRPr="00F17AD5">
        <w:rPr>
          <w:rFonts w:cs="Arial"/>
          <w:sz w:val="16"/>
          <w:szCs w:val="16"/>
        </w:rPr>
        <w:t>Hall S, Fildes J, Perrens B, Plummer J, Carlisle E, Cockayne N</w:t>
      </w:r>
      <w:r>
        <w:rPr>
          <w:rFonts w:cs="Arial"/>
          <w:sz w:val="16"/>
          <w:szCs w:val="16"/>
        </w:rPr>
        <w:t xml:space="preserve">, et al. </w:t>
      </w:r>
      <w:r w:rsidRPr="00F17AD5">
        <w:rPr>
          <w:rFonts w:cs="Arial"/>
          <w:sz w:val="16"/>
          <w:szCs w:val="16"/>
        </w:rPr>
        <w:t xml:space="preserve">(2019) </w:t>
      </w:r>
      <w:r w:rsidRPr="003061B9">
        <w:rPr>
          <w:rFonts w:cs="Arial"/>
          <w:sz w:val="16"/>
          <w:szCs w:val="16"/>
        </w:rPr>
        <w:t xml:space="preserve">Can we </w:t>
      </w:r>
      <w:r>
        <w:rPr>
          <w:rFonts w:cs="Arial"/>
          <w:sz w:val="16"/>
          <w:szCs w:val="16"/>
        </w:rPr>
        <w:t>t</w:t>
      </w:r>
      <w:r w:rsidRPr="003061B9">
        <w:rPr>
          <w:rFonts w:cs="Arial"/>
          <w:sz w:val="16"/>
          <w:szCs w:val="16"/>
        </w:rPr>
        <w:t>alk?</w:t>
      </w:r>
      <w:r>
        <w:rPr>
          <w:rFonts w:cs="Arial"/>
          <w:sz w:val="16"/>
          <w:szCs w:val="16"/>
        </w:rPr>
        <w:t>:</w:t>
      </w:r>
      <w:r w:rsidRPr="003061B9">
        <w:rPr>
          <w:rFonts w:cs="Arial"/>
          <w:sz w:val="16"/>
          <w:szCs w:val="16"/>
        </w:rPr>
        <w:t xml:space="preserve"> </w:t>
      </w:r>
      <w:r>
        <w:rPr>
          <w:rFonts w:cs="Arial"/>
          <w:sz w:val="16"/>
          <w:szCs w:val="16"/>
        </w:rPr>
        <w:t>s</w:t>
      </w:r>
      <w:r w:rsidRPr="003061B9">
        <w:rPr>
          <w:rFonts w:cs="Arial"/>
          <w:sz w:val="16"/>
          <w:szCs w:val="16"/>
        </w:rPr>
        <w:t xml:space="preserve">even </w:t>
      </w:r>
      <w:r>
        <w:rPr>
          <w:rFonts w:cs="Arial"/>
          <w:sz w:val="16"/>
          <w:szCs w:val="16"/>
        </w:rPr>
        <w:t>y</w:t>
      </w:r>
      <w:r w:rsidRPr="003061B9">
        <w:rPr>
          <w:rFonts w:cs="Arial"/>
          <w:sz w:val="16"/>
          <w:szCs w:val="16"/>
        </w:rPr>
        <w:t xml:space="preserve">ear </w:t>
      </w:r>
      <w:r>
        <w:rPr>
          <w:rFonts w:cs="Arial"/>
          <w:sz w:val="16"/>
          <w:szCs w:val="16"/>
        </w:rPr>
        <w:t>y</w:t>
      </w:r>
      <w:r w:rsidRPr="003061B9">
        <w:rPr>
          <w:rFonts w:cs="Arial"/>
          <w:sz w:val="16"/>
          <w:szCs w:val="16"/>
        </w:rPr>
        <w:t xml:space="preserve">outh </w:t>
      </w:r>
      <w:r>
        <w:rPr>
          <w:rFonts w:cs="Arial"/>
          <w:sz w:val="16"/>
          <w:szCs w:val="16"/>
        </w:rPr>
        <w:t>m</w:t>
      </w:r>
      <w:r w:rsidRPr="003061B9">
        <w:rPr>
          <w:rFonts w:cs="Arial"/>
          <w:sz w:val="16"/>
          <w:szCs w:val="16"/>
        </w:rPr>
        <w:t xml:space="preserve">ental </w:t>
      </w:r>
      <w:r>
        <w:rPr>
          <w:rFonts w:cs="Arial"/>
          <w:sz w:val="16"/>
          <w:szCs w:val="16"/>
        </w:rPr>
        <w:t>h</w:t>
      </w:r>
      <w:r w:rsidRPr="003061B9">
        <w:rPr>
          <w:rFonts w:cs="Arial"/>
          <w:sz w:val="16"/>
          <w:szCs w:val="16"/>
        </w:rPr>
        <w:t xml:space="preserve">ealth </w:t>
      </w:r>
      <w:r>
        <w:rPr>
          <w:rFonts w:cs="Arial"/>
          <w:sz w:val="16"/>
          <w:szCs w:val="16"/>
        </w:rPr>
        <w:t>r</w:t>
      </w:r>
      <w:r w:rsidRPr="003061B9">
        <w:rPr>
          <w:rFonts w:cs="Arial"/>
          <w:sz w:val="16"/>
          <w:szCs w:val="16"/>
        </w:rPr>
        <w:t>eport</w:t>
      </w:r>
      <w:r>
        <w:rPr>
          <w:rFonts w:cs="Arial"/>
          <w:sz w:val="16"/>
          <w:szCs w:val="16"/>
        </w:rPr>
        <w:t xml:space="preserve">: </w:t>
      </w:r>
      <w:r w:rsidRPr="003061B9">
        <w:rPr>
          <w:rFonts w:cs="Arial"/>
          <w:sz w:val="16"/>
          <w:szCs w:val="16"/>
        </w:rPr>
        <w:t>2012-2018</w:t>
      </w:r>
      <w:r w:rsidRPr="00F17AD5">
        <w:rPr>
          <w:rFonts w:cs="Arial"/>
          <w:sz w:val="16"/>
          <w:szCs w:val="16"/>
        </w:rPr>
        <w:t>. Mission Australia</w:t>
      </w:r>
      <w:r>
        <w:rPr>
          <w:rFonts w:cs="Arial"/>
          <w:sz w:val="16"/>
          <w:szCs w:val="16"/>
        </w:rPr>
        <w:t xml:space="preserve">. Sydney. Available from: </w:t>
      </w:r>
      <w:hyperlink r:id="rId38" w:history="1">
        <w:r w:rsidRPr="003061B9">
          <w:rPr>
            <w:rStyle w:val="Hyperlink"/>
            <w:rFonts w:cs="Arial"/>
            <w:sz w:val="16"/>
            <w:szCs w:val="16"/>
          </w:rPr>
          <w:t>URL</w:t>
        </w:r>
      </w:hyperlink>
    </w:p>
  </w:footnote>
  <w:footnote w:id="47">
    <w:p w14:paraId="7753F860" w14:textId="02070136" w:rsidR="00B208C1" w:rsidRPr="001009F2" w:rsidRDefault="00B208C1" w:rsidP="00244F71">
      <w:pPr>
        <w:pStyle w:val="FootnoteText"/>
        <w:tabs>
          <w:tab w:val="left" w:pos="255"/>
        </w:tabs>
        <w:spacing w:after="40"/>
        <w:ind w:left="255" w:hanging="255"/>
        <w:jc w:val="both"/>
        <w:rPr>
          <w:rFonts w:cs="Arial"/>
          <w:sz w:val="16"/>
          <w:szCs w:val="16"/>
        </w:rPr>
      </w:pPr>
      <w:r w:rsidRPr="00F70171">
        <w:rPr>
          <w:rStyle w:val="FootnoteReference"/>
          <w:rFonts w:cs="Arial"/>
          <w:sz w:val="18"/>
          <w:szCs w:val="18"/>
        </w:rPr>
        <w:footnoteRef/>
      </w:r>
      <w:r w:rsidRPr="001009F2">
        <w:rPr>
          <w:rFonts w:cs="Arial"/>
          <w:sz w:val="16"/>
          <w:szCs w:val="16"/>
        </w:rPr>
        <w:t xml:space="preserve"> </w:t>
      </w:r>
      <w:r>
        <w:rPr>
          <w:rFonts w:cs="Arial"/>
          <w:sz w:val="16"/>
          <w:szCs w:val="16"/>
        </w:rPr>
        <w:tab/>
      </w:r>
      <w:r w:rsidRPr="001009F2">
        <w:rPr>
          <w:rFonts w:cs="Arial"/>
          <w:sz w:val="16"/>
          <w:szCs w:val="16"/>
        </w:rPr>
        <w:t>McKenzie M, Bugden M, Webster A, Barr M (2018) Advertising (in)equality: the impacts of sexist advertising on women’s health and wellbeing. Women's Health Victoria</w:t>
      </w:r>
      <w:r>
        <w:rPr>
          <w:rFonts w:cs="Arial"/>
          <w:sz w:val="16"/>
          <w:szCs w:val="16"/>
        </w:rPr>
        <w:t>,</w:t>
      </w:r>
      <w:r w:rsidRPr="001009F2">
        <w:rPr>
          <w:rFonts w:cs="Arial"/>
          <w:sz w:val="16"/>
          <w:szCs w:val="16"/>
        </w:rPr>
        <w:t xml:space="preserve"> Melbourne. - (</w:t>
      </w:r>
      <w:r w:rsidRPr="001009F2">
        <w:rPr>
          <w:rFonts w:cs="Arial"/>
          <w:i/>
          <w:iCs/>
          <w:sz w:val="16"/>
          <w:szCs w:val="16"/>
        </w:rPr>
        <w:t>Women's Health Issues Paper</w:t>
      </w:r>
      <w:r w:rsidRPr="001009F2">
        <w:rPr>
          <w:rFonts w:cs="Arial"/>
          <w:sz w:val="16"/>
          <w:szCs w:val="16"/>
        </w:rPr>
        <w:t>; 14)</w:t>
      </w:r>
      <w:r>
        <w:rPr>
          <w:rFonts w:cs="Arial"/>
          <w:sz w:val="16"/>
          <w:szCs w:val="16"/>
        </w:rPr>
        <w:t xml:space="preserve">. Available from: </w:t>
      </w:r>
      <w:hyperlink r:id="rId39" w:history="1">
        <w:r w:rsidRPr="001009F2">
          <w:rPr>
            <w:rStyle w:val="Hyperlink"/>
            <w:rFonts w:cs="Arial"/>
            <w:sz w:val="16"/>
            <w:szCs w:val="16"/>
          </w:rPr>
          <w:t>URL</w:t>
        </w:r>
      </w:hyperlink>
    </w:p>
  </w:footnote>
  <w:footnote w:id="48">
    <w:p w14:paraId="6B6C693E" w14:textId="43935982" w:rsidR="00B208C1" w:rsidRPr="001009F2" w:rsidRDefault="00B208C1" w:rsidP="000076E7">
      <w:pPr>
        <w:pStyle w:val="FootnoteText"/>
        <w:tabs>
          <w:tab w:val="left" w:pos="255"/>
        </w:tabs>
        <w:spacing w:after="60"/>
        <w:ind w:left="255" w:hanging="255"/>
        <w:jc w:val="both"/>
        <w:rPr>
          <w:rFonts w:cs="Arial"/>
          <w:sz w:val="16"/>
          <w:szCs w:val="16"/>
        </w:rPr>
      </w:pPr>
      <w:r w:rsidRPr="00F70171">
        <w:rPr>
          <w:rStyle w:val="FootnoteReference"/>
          <w:rFonts w:cs="Arial"/>
          <w:sz w:val="18"/>
          <w:szCs w:val="18"/>
        </w:rPr>
        <w:footnoteRef/>
      </w:r>
      <w:r w:rsidRPr="001009F2">
        <w:rPr>
          <w:rFonts w:cs="Arial"/>
          <w:sz w:val="16"/>
          <w:szCs w:val="16"/>
        </w:rPr>
        <w:t xml:space="preserve"> </w:t>
      </w:r>
      <w:r>
        <w:rPr>
          <w:rFonts w:cs="Arial"/>
          <w:sz w:val="16"/>
          <w:szCs w:val="16"/>
        </w:rPr>
        <w:tab/>
        <w:t xml:space="preserve">ibid. Available from: </w:t>
      </w:r>
      <w:hyperlink r:id="rId40" w:history="1">
        <w:r w:rsidRPr="001009F2">
          <w:rPr>
            <w:rStyle w:val="Hyperlink"/>
            <w:rFonts w:cs="Arial"/>
            <w:sz w:val="16"/>
            <w:szCs w:val="16"/>
          </w:rPr>
          <w:t>URL</w:t>
        </w:r>
      </w:hyperlink>
    </w:p>
  </w:footnote>
  <w:footnote w:id="49">
    <w:p w14:paraId="390E5ECB" w14:textId="4C115B72" w:rsidR="00B208C1" w:rsidRPr="00F17AD5" w:rsidRDefault="00B208C1" w:rsidP="00244F71">
      <w:pPr>
        <w:pStyle w:val="NormalWeb"/>
        <w:shd w:val="clear" w:color="auto" w:fill="FFFFFF"/>
        <w:tabs>
          <w:tab w:val="left" w:pos="255"/>
          <w:tab w:val="left" w:pos="288"/>
        </w:tabs>
        <w:spacing w:after="40" w:line="240" w:lineRule="auto"/>
        <w:ind w:left="255" w:hanging="255"/>
        <w:jc w:val="both"/>
        <w:rPr>
          <w:rFonts w:ascii="Arial" w:hAnsi="Arial" w:cs="Arial"/>
          <w:color w:val="000000"/>
          <w:sz w:val="16"/>
          <w:szCs w:val="16"/>
        </w:rPr>
      </w:pPr>
      <w:r w:rsidRPr="003E6320">
        <w:rPr>
          <w:rStyle w:val="FootnoteReference"/>
          <w:rFonts w:ascii="Arial" w:hAnsi="Arial" w:cs="Arial"/>
          <w:sz w:val="18"/>
          <w:szCs w:val="18"/>
        </w:rPr>
        <w:footnoteRef/>
      </w:r>
      <w:r w:rsidRPr="00F17AD5">
        <w:rPr>
          <w:rFonts w:ascii="Arial" w:hAnsi="Arial" w:cs="Arial"/>
          <w:sz w:val="16"/>
          <w:szCs w:val="16"/>
        </w:rPr>
        <w:t xml:space="preserve"> </w:t>
      </w:r>
      <w:r>
        <w:rPr>
          <w:rFonts w:ascii="Arial" w:hAnsi="Arial" w:cs="Arial"/>
          <w:sz w:val="16"/>
          <w:szCs w:val="16"/>
        </w:rPr>
        <w:tab/>
      </w:r>
      <w:r w:rsidRPr="00F17AD5">
        <w:rPr>
          <w:rFonts w:ascii="Arial" w:hAnsi="Arial" w:cs="Arial"/>
          <w:sz w:val="16"/>
          <w:szCs w:val="16"/>
        </w:rPr>
        <w:fldChar w:fldCharType="begin"/>
      </w:r>
      <w:r w:rsidRPr="00F17AD5">
        <w:rPr>
          <w:rFonts w:ascii="Arial" w:hAnsi="Arial" w:cs="Arial"/>
          <w:sz w:val="16"/>
          <w:szCs w:val="16"/>
        </w:rPr>
        <w:instrText xml:space="preserve"> ADDIN EN.CITE &lt;EndNote&gt;&lt;Cite&gt;&lt;Author&gt;Webb&lt;/Author&gt;&lt;Year&gt;2013&lt;/Year&gt;&lt;RecNum&gt;663&lt;/RecNum&gt;&lt;DisplayText&gt;Webb and Zimmer-Gembeck (2013) The role of friends and peers in adolescent body dissatisfaction : a review and critique of 15 years of research [Author manuscript submitted to Journal of Research on Adolescence]. &lt;style face="italic"&gt;Griffith Research Online&lt;/style&gt;&lt;/DisplayText&gt;&lt;record&gt;&lt;rec-number&gt;663&lt;/rec-number&gt;&lt;foreign-keys&gt;&lt;key app="EN" db-id="ssa09sw2ttazvjex2225xtt350ewfx2vadfs"&gt;663&lt;/key&gt;&lt;/foreign-keys&gt;&lt;ref-type name="Journal Article"&gt;17&lt;/ref-type&gt;&lt;contributors&gt;&lt;authors&gt;&lt;author&gt;Webb, Haley&lt;/author&gt;&lt;author&gt;Zimmer-Gembeck, Melanie&lt;/author&gt;&lt;/authors&gt;&lt;/contributors&gt;&lt;titles&gt;&lt;title&gt;The role of friends and peers in adolescent body dissatisfaction : a review and critique of 15 years of research [Author manuscript submitted to Journal of Research on Adolescence]&lt;/title&gt;&lt;secondary-title&gt;Griffith Research Online&lt;/secondary-title&gt;&lt;/titles&gt;&lt;periodical&gt;&lt;full-title&gt;Griffith Research Online&lt;/full-title&gt;&lt;/periodical&gt;&lt;dates&gt;&lt;year&gt;2013&lt;/year&gt;&lt;/dates&gt;&lt;publisher&gt;Griffith University &lt;/publisher&gt;&lt;urls&gt;&lt;related-urls&gt;&lt;url&gt;https://research-repository.griffith.edu.au/handle/10072/60405&lt;/url&gt;&lt;/related-urls&gt;&lt;/urls&gt;&lt;/record&gt;&lt;/Cite&gt;&lt;/EndNote&gt;</w:instrText>
      </w:r>
      <w:r w:rsidRPr="00F17AD5">
        <w:rPr>
          <w:rFonts w:ascii="Arial" w:hAnsi="Arial" w:cs="Arial"/>
          <w:sz w:val="16"/>
          <w:szCs w:val="16"/>
        </w:rPr>
        <w:fldChar w:fldCharType="separate"/>
      </w:r>
      <w:r w:rsidRPr="00F17AD5">
        <w:rPr>
          <w:rFonts w:ascii="Arial" w:hAnsi="Arial" w:cs="Arial"/>
          <w:noProof/>
          <w:sz w:val="16"/>
          <w:szCs w:val="16"/>
        </w:rPr>
        <w:t>Webb</w:t>
      </w:r>
      <w:r>
        <w:rPr>
          <w:rFonts w:ascii="Arial" w:hAnsi="Arial" w:cs="Arial"/>
          <w:noProof/>
          <w:sz w:val="16"/>
          <w:szCs w:val="16"/>
        </w:rPr>
        <w:t xml:space="preserve"> HJ, </w:t>
      </w:r>
      <w:r w:rsidRPr="00F17AD5">
        <w:rPr>
          <w:rFonts w:ascii="Arial" w:hAnsi="Arial" w:cs="Arial"/>
          <w:noProof/>
          <w:sz w:val="16"/>
          <w:szCs w:val="16"/>
        </w:rPr>
        <w:t>Zimmer-Gembeck</w:t>
      </w:r>
      <w:r>
        <w:rPr>
          <w:rFonts w:ascii="Arial" w:hAnsi="Arial" w:cs="Arial"/>
          <w:noProof/>
          <w:sz w:val="16"/>
          <w:szCs w:val="16"/>
        </w:rPr>
        <w:t xml:space="preserve"> MJ</w:t>
      </w:r>
      <w:r w:rsidRPr="00F17AD5">
        <w:rPr>
          <w:rFonts w:ascii="Arial" w:hAnsi="Arial" w:cs="Arial"/>
          <w:noProof/>
          <w:sz w:val="16"/>
          <w:szCs w:val="16"/>
        </w:rPr>
        <w:t xml:space="preserve"> (2013) The role of friends and peers in adolescent body dissatisfaction : a review and critique of 15 years of research</w:t>
      </w:r>
      <w:r>
        <w:rPr>
          <w:rFonts w:ascii="Arial" w:hAnsi="Arial" w:cs="Arial"/>
          <w:noProof/>
          <w:sz w:val="16"/>
          <w:szCs w:val="16"/>
        </w:rPr>
        <w:t xml:space="preserve">. </w:t>
      </w:r>
      <w:r w:rsidRPr="00E52AE2">
        <w:rPr>
          <w:rFonts w:ascii="Arial" w:hAnsi="Arial" w:cs="Arial"/>
          <w:i/>
          <w:iCs/>
          <w:noProof/>
          <w:sz w:val="16"/>
          <w:szCs w:val="16"/>
        </w:rPr>
        <w:t>Journal of Research on Adolescence</w:t>
      </w:r>
      <w:r w:rsidRPr="00F17AD5">
        <w:rPr>
          <w:rFonts w:ascii="Arial" w:hAnsi="Arial" w:cs="Arial"/>
          <w:noProof/>
          <w:sz w:val="16"/>
          <w:szCs w:val="16"/>
        </w:rPr>
        <w:t xml:space="preserve">. </w:t>
      </w:r>
      <w:r w:rsidRPr="00F17AD5">
        <w:rPr>
          <w:rFonts w:ascii="Arial" w:hAnsi="Arial" w:cs="Arial"/>
          <w:sz w:val="16"/>
          <w:szCs w:val="16"/>
        </w:rPr>
        <w:fldChar w:fldCharType="end"/>
      </w:r>
      <w:r>
        <w:rPr>
          <w:rFonts w:ascii="Arial" w:hAnsi="Arial" w:cs="Arial"/>
          <w:sz w:val="16"/>
          <w:szCs w:val="16"/>
        </w:rPr>
        <w:t xml:space="preserve">24(4). [Author manuscript version; p. 3]. </w:t>
      </w:r>
      <w:r w:rsidRPr="00F17AD5">
        <w:rPr>
          <w:rFonts w:ascii="Arial" w:hAnsi="Arial" w:cs="Arial"/>
          <w:sz w:val="16"/>
          <w:szCs w:val="16"/>
        </w:rPr>
        <w:t xml:space="preserve">Available from: </w:t>
      </w:r>
      <w:hyperlink r:id="rId41" w:history="1">
        <w:r w:rsidRPr="00F17AD5">
          <w:rPr>
            <w:rStyle w:val="Hyperlink"/>
            <w:rFonts w:ascii="Arial" w:hAnsi="Arial" w:cs="Arial"/>
            <w:sz w:val="16"/>
            <w:szCs w:val="16"/>
          </w:rPr>
          <w:t>URL</w:t>
        </w:r>
      </w:hyperlink>
    </w:p>
  </w:footnote>
  <w:footnote w:id="50">
    <w:p w14:paraId="7757618B" w14:textId="6748AB2C" w:rsidR="00B208C1" w:rsidRPr="00F17AD5" w:rsidRDefault="00B208C1" w:rsidP="00244F71">
      <w:pPr>
        <w:pStyle w:val="FootnoteText"/>
        <w:tabs>
          <w:tab w:val="left" w:pos="255"/>
          <w:tab w:val="left" w:pos="288"/>
        </w:tabs>
        <w:spacing w:after="40"/>
        <w:ind w:left="255" w:hanging="255"/>
        <w:jc w:val="both"/>
        <w:rPr>
          <w:rFonts w:cs="Arial"/>
          <w:sz w:val="16"/>
          <w:szCs w:val="16"/>
          <w:lang w:val="en-US"/>
        </w:rPr>
      </w:pPr>
      <w:r w:rsidRPr="003E6320">
        <w:rPr>
          <w:rStyle w:val="FootnoteReference"/>
          <w:rFonts w:cs="Arial"/>
          <w:sz w:val="18"/>
          <w:szCs w:val="18"/>
        </w:rPr>
        <w:footnoteRef/>
      </w:r>
      <w:r w:rsidRPr="00F17AD5">
        <w:rPr>
          <w:rFonts w:cs="Arial"/>
          <w:sz w:val="16"/>
          <w:szCs w:val="16"/>
        </w:rPr>
        <w:fldChar w:fldCharType="begin"/>
      </w:r>
      <w:r w:rsidRPr="00F17AD5">
        <w:rPr>
          <w:rFonts w:cs="Arial"/>
          <w:sz w:val="16"/>
          <w:szCs w:val="16"/>
        </w:rPr>
        <w:instrText xml:space="preserve"> ADDIN EN.CITE &lt;EndNote&gt;&lt;Cite&gt;&lt;Author&gt;Stiefler Johnson&lt;/Author&gt;&lt;Year&gt;2014&lt;/Year&gt;&lt;RecNum&gt;665&lt;/RecNum&gt;&lt;DisplayText&gt;Stiefler Johnson (2014)&lt;style face="bold"&gt; &lt;/style&gt;Internalizing beauty ideals : the health risks of adult women&amp;apos;s self-objectification. &lt;/DisplayText&gt;&lt;record&gt;&lt;rec-number&gt;665&lt;/rec-number&gt;&lt;foreign-keys&gt;&lt;key app="EN" db-id="ssa09sw2ttazvjex2225xtt350ewfx2vadfs"&gt;665&lt;/key&gt;&lt;/foreign-keys&gt;&lt;ref-type name="Web Page"&gt;12&lt;/ref-type&gt;&lt;contributors&gt;&lt;authors&gt;&lt;author&gt;Stiefler Johnson, Vera&lt;/author&gt;&lt;/authors&gt;&lt;/contributors&gt;&lt;titles&gt;&lt;title&gt;Internalizing beauty ideals : the health risks of adult women&amp;apos;s self-objectification&lt;/title&gt;&lt;/titles&gt;&lt;dates&gt;&lt;year&gt;2014&lt;/year&gt;&lt;/dates&gt;&lt;pub-location&gt;New York&lt;/pub-location&gt;&lt;publisher&gt;New York University. Department of Applied Psychology&lt;/publisher&gt;&lt;urls&gt;&lt;related-urls&gt;&lt;url&gt;http://steinhardt.nyu.edu/appsych/opus/issues/2014/fall/stieflerjohnson&lt;/url&gt;&lt;/related-urls&gt;&lt;/urls&gt;&lt;/record&gt;&lt;/Cite&gt;&lt;/EndNote&gt;</w:instrText>
      </w:r>
      <w:r w:rsidRPr="00F17AD5">
        <w:rPr>
          <w:rFonts w:cs="Arial"/>
          <w:sz w:val="16"/>
          <w:szCs w:val="16"/>
        </w:rPr>
        <w:fldChar w:fldCharType="separate"/>
      </w:r>
      <w:r>
        <w:rPr>
          <w:rFonts w:cs="Arial"/>
          <w:noProof/>
          <w:sz w:val="16"/>
          <w:szCs w:val="16"/>
        </w:rPr>
        <w:tab/>
        <w:t>S</w:t>
      </w:r>
      <w:r w:rsidRPr="00F17AD5">
        <w:rPr>
          <w:rFonts w:cs="Arial"/>
          <w:noProof/>
          <w:sz w:val="16"/>
          <w:szCs w:val="16"/>
        </w:rPr>
        <w:t>tiefler Johnson</w:t>
      </w:r>
      <w:r>
        <w:rPr>
          <w:rFonts w:cs="Arial"/>
          <w:noProof/>
          <w:sz w:val="16"/>
          <w:szCs w:val="16"/>
        </w:rPr>
        <w:t xml:space="preserve"> V</w:t>
      </w:r>
      <w:r w:rsidRPr="00F17AD5">
        <w:rPr>
          <w:rFonts w:cs="Arial"/>
          <w:noProof/>
          <w:sz w:val="16"/>
          <w:szCs w:val="16"/>
        </w:rPr>
        <w:t xml:space="preserve"> (2014)</w:t>
      </w:r>
      <w:r w:rsidRPr="00F17AD5">
        <w:rPr>
          <w:rFonts w:cs="Arial"/>
          <w:b/>
          <w:noProof/>
          <w:sz w:val="16"/>
          <w:szCs w:val="16"/>
        </w:rPr>
        <w:t xml:space="preserve"> </w:t>
      </w:r>
      <w:r w:rsidRPr="00F17AD5">
        <w:rPr>
          <w:rFonts w:cs="Arial"/>
          <w:noProof/>
          <w:sz w:val="16"/>
          <w:szCs w:val="16"/>
        </w:rPr>
        <w:t xml:space="preserve">Internalizing beauty ideals: the health risks of adult women's self-objectification. </w:t>
      </w:r>
      <w:r w:rsidRPr="00F17AD5">
        <w:rPr>
          <w:rFonts w:cs="Arial"/>
          <w:sz w:val="16"/>
          <w:szCs w:val="16"/>
        </w:rPr>
        <w:fldChar w:fldCharType="end"/>
      </w:r>
      <w:r w:rsidRPr="00635F33">
        <w:rPr>
          <w:rFonts w:cs="Arial"/>
          <w:i/>
          <w:iCs/>
          <w:sz w:val="16"/>
          <w:szCs w:val="16"/>
        </w:rPr>
        <w:t>OPUS (NYU Steinhart)</w:t>
      </w:r>
      <w:r>
        <w:rPr>
          <w:rFonts w:cs="Arial"/>
          <w:i/>
          <w:iCs/>
          <w:sz w:val="16"/>
          <w:szCs w:val="16"/>
        </w:rPr>
        <w:t>.</w:t>
      </w:r>
      <w:r>
        <w:rPr>
          <w:rFonts w:cs="Arial"/>
          <w:sz w:val="16"/>
          <w:szCs w:val="16"/>
        </w:rPr>
        <w:t xml:space="preserve"> 2014(Fall):13-19. </w:t>
      </w:r>
      <w:r w:rsidRPr="00F17AD5">
        <w:rPr>
          <w:rFonts w:cs="Arial"/>
          <w:sz w:val="16"/>
          <w:szCs w:val="16"/>
        </w:rPr>
        <w:t xml:space="preserve">Available from: </w:t>
      </w:r>
      <w:hyperlink r:id="rId42" w:history="1">
        <w:r w:rsidRPr="00F17AD5">
          <w:rPr>
            <w:rStyle w:val="Hyperlink"/>
            <w:rFonts w:cs="Arial"/>
            <w:sz w:val="16"/>
            <w:szCs w:val="16"/>
          </w:rPr>
          <w:t>URL</w:t>
        </w:r>
      </w:hyperlink>
    </w:p>
  </w:footnote>
  <w:footnote w:id="51">
    <w:p w14:paraId="6E45FC7E" w14:textId="3D9DB1AC" w:rsidR="00B208C1" w:rsidRPr="00F17AD5" w:rsidRDefault="00B208C1" w:rsidP="00244F71">
      <w:pPr>
        <w:pStyle w:val="FootnoteText"/>
        <w:tabs>
          <w:tab w:val="left" w:pos="255"/>
          <w:tab w:val="left" w:pos="288"/>
        </w:tabs>
        <w:spacing w:after="40"/>
        <w:ind w:left="255" w:hanging="255"/>
        <w:jc w:val="both"/>
        <w:rPr>
          <w:rFonts w:cs="Arial"/>
          <w:sz w:val="16"/>
          <w:szCs w:val="16"/>
          <w:lang w:val="en-US"/>
        </w:rPr>
      </w:pPr>
      <w:r w:rsidRPr="003E6320">
        <w:rPr>
          <w:rStyle w:val="FootnoteReference"/>
          <w:rFonts w:cs="Arial"/>
          <w:sz w:val="18"/>
          <w:szCs w:val="18"/>
        </w:rPr>
        <w:footnoteRef/>
      </w:r>
      <w:r w:rsidRPr="00F17AD5">
        <w:rPr>
          <w:rFonts w:cs="Arial"/>
          <w:sz w:val="16"/>
          <w:szCs w:val="16"/>
        </w:rPr>
        <w:fldChar w:fldCharType="begin"/>
      </w:r>
      <w:r w:rsidRPr="00F17AD5">
        <w:rPr>
          <w:rFonts w:cs="Arial"/>
          <w:sz w:val="16"/>
          <w:szCs w:val="16"/>
        </w:rPr>
        <w:instrText xml:space="preserve"> ADDIN EN.CITE &lt;EndNote&gt;&lt;Cite&gt;&lt;Author&gt;Stiefler Johnson&lt;/Author&gt;&lt;Year&gt;2014&lt;/Year&gt;&lt;RecNum&gt;665&lt;/RecNum&gt;&lt;DisplayText&gt;Stiefler Johnson (2014)&lt;style face="bold"&gt; &lt;/style&gt;Internalizing beauty ideals : the health risks of adult women&amp;apos;s self-objectification. &lt;/DisplayText&gt;&lt;record&gt;&lt;rec-number&gt;665&lt;/rec-number&gt;&lt;foreign-keys&gt;&lt;key app="EN" db-id="ssa09sw2ttazvjex2225xtt350ewfx2vadfs"&gt;665&lt;/key&gt;&lt;/foreign-keys&gt;&lt;ref-type name="Web Page"&gt;12&lt;/ref-type&gt;&lt;contributors&gt;&lt;authors&gt;&lt;author&gt;Stiefler Johnson, Vera&lt;/author&gt;&lt;/authors&gt;&lt;/contributors&gt;&lt;titles&gt;&lt;title&gt;Internalizing beauty ideals : the health risks of adult women&amp;apos;s self-objectification&lt;/title&gt;&lt;/titles&gt;&lt;dates&gt;&lt;year&gt;2014&lt;/year&gt;&lt;/dates&gt;&lt;pub-location&gt;New York&lt;/pub-location&gt;&lt;publisher&gt;New York University. Department of Applied Psychology&lt;/publisher&gt;&lt;urls&gt;&lt;related-urls&gt;&lt;url&gt;http://steinhardt.nyu.edu/appsych/opus/issues/2014/fall/stieflerjohnson&lt;/url&gt;&lt;/related-urls&gt;&lt;/urls&gt;&lt;/record&gt;&lt;/Cite&gt;&lt;/EndNote&gt;</w:instrText>
      </w:r>
      <w:r w:rsidRPr="00F17AD5">
        <w:rPr>
          <w:rFonts w:cs="Arial"/>
          <w:sz w:val="16"/>
          <w:szCs w:val="16"/>
        </w:rPr>
        <w:fldChar w:fldCharType="separate"/>
      </w:r>
      <w:r>
        <w:rPr>
          <w:rFonts w:cs="Arial"/>
          <w:noProof/>
          <w:sz w:val="16"/>
          <w:szCs w:val="16"/>
        </w:rPr>
        <w:tab/>
      </w:r>
      <w:r w:rsidRPr="00F17AD5">
        <w:rPr>
          <w:rFonts w:cs="Arial"/>
          <w:sz w:val="16"/>
          <w:szCs w:val="16"/>
        </w:rPr>
        <w:fldChar w:fldCharType="end"/>
      </w:r>
      <w:r>
        <w:rPr>
          <w:rFonts w:cs="Arial"/>
          <w:sz w:val="16"/>
          <w:szCs w:val="16"/>
        </w:rPr>
        <w:t xml:space="preserve">ibid. </w:t>
      </w:r>
      <w:r w:rsidRPr="00F17AD5">
        <w:rPr>
          <w:rFonts w:cs="Arial"/>
          <w:sz w:val="16"/>
          <w:szCs w:val="16"/>
        </w:rPr>
        <w:t xml:space="preserve">Available from: </w:t>
      </w:r>
      <w:hyperlink r:id="rId43" w:history="1">
        <w:r w:rsidRPr="00F17AD5">
          <w:rPr>
            <w:rStyle w:val="Hyperlink"/>
            <w:rFonts w:cs="Arial"/>
            <w:sz w:val="16"/>
            <w:szCs w:val="16"/>
          </w:rPr>
          <w:t>URL</w:t>
        </w:r>
      </w:hyperlink>
    </w:p>
  </w:footnote>
  <w:footnote w:id="52">
    <w:p w14:paraId="2014A5AC" w14:textId="55722D21" w:rsidR="00B208C1" w:rsidRPr="00A57F5C" w:rsidRDefault="00B208C1" w:rsidP="00A57F5C">
      <w:pPr>
        <w:pStyle w:val="FootnoteText"/>
        <w:tabs>
          <w:tab w:val="left" w:pos="255"/>
          <w:tab w:val="left" w:pos="288"/>
        </w:tabs>
        <w:spacing w:after="40"/>
        <w:ind w:left="255" w:hanging="255"/>
        <w:jc w:val="both"/>
        <w:rPr>
          <w:rFonts w:cs="Arial"/>
          <w:sz w:val="16"/>
          <w:szCs w:val="16"/>
          <w:lang w:val="en-US"/>
        </w:rPr>
      </w:pPr>
      <w:r w:rsidRPr="00A57F5C">
        <w:rPr>
          <w:rStyle w:val="FootnoteReference"/>
          <w:sz w:val="16"/>
          <w:szCs w:val="16"/>
        </w:rPr>
        <w:footnoteRef/>
      </w:r>
      <w:r>
        <w:t xml:space="preserve"> </w:t>
      </w:r>
      <w:r w:rsidRPr="00F17AD5">
        <w:rPr>
          <w:rFonts w:cs="Arial"/>
          <w:sz w:val="16"/>
          <w:szCs w:val="16"/>
        </w:rPr>
        <w:fldChar w:fldCharType="begin"/>
      </w:r>
      <w:r w:rsidRPr="00F17AD5">
        <w:rPr>
          <w:rFonts w:cs="Arial"/>
          <w:sz w:val="16"/>
          <w:szCs w:val="16"/>
        </w:rPr>
        <w:instrText xml:space="preserve"> ADDIN EN.CITE &lt;EndNote&gt;&lt;Cite&gt;&lt;Author&gt;Holland&lt;/Author&gt;&lt;Year&gt;2016&lt;/Year&gt;&lt;RecNum&gt;834&lt;/RecNum&gt;&lt;DisplayText&gt;Holland and Haslam (2016) Cute little things : the objectification of prepubescent girls. &lt;style face="italic"&gt;Psychology of Women Quarterly&lt;/style&gt;. 40 (1):108-19&lt;/DisplayText&gt;&lt;record&gt;&lt;rec-number&gt;834&lt;/rec-number&gt;&lt;foreign-keys&gt;&lt;key app="EN" db-id="ssa09sw2ttazvjex2225xtt350ewfx2vadfs"&gt;834&lt;/key&gt;&lt;/foreign-keys&gt;&lt;ref-type name="Journal Article"&gt;17&lt;/ref-type&gt;&lt;contributors&gt;&lt;authors&gt;&lt;author&gt;Holland, Elise&lt;/author&gt;&lt;author&gt;Haslam, Nick&lt;/author&gt;&lt;/authors&gt;&lt;/contributors&gt;&lt;titles&gt;&lt;title&gt;Cute little things : the objectification of prepubescent girls&lt;/title&gt;&lt;secondary-title&gt;Psychology of Women Quarterly&lt;/secondary-title&gt;&lt;/titles&gt;&lt;periodical&gt;&lt;full-title&gt;Psychology of Women Quarterly&lt;/full-title&gt;&lt;/periodical&gt;&lt;pages&gt;108-119&lt;/pages&gt;&lt;volume&gt;40&lt;/volume&gt;&lt;number&gt;1&lt;/number&gt;&lt;keywords&gt;&lt;keyword&gt;objectification,morality,mind,bullying,body image,human females,prepubescent girls&lt;/keyword&gt;&lt;/keywords&gt;&lt;dates&gt;&lt;year&gt;2016&lt;/year&gt;&lt;/dates&gt;&lt;urls&gt;&lt;related-urls&gt;&lt;url&gt;http://journals.sagepub.com/doi/abs/10.1177/0361684315602887&lt;/url&gt;&lt;/related-urls&gt;&lt;/urls&gt;&lt;electronic-resource-num&gt;doi:10.1177/0361684315602887&lt;/electronic-resource-num&gt;&lt;/record&gt;&lt;/Cite&gt;&lt;/EndNote&gt;</w:instrText>
      </w:r>
      <w:r w:rsidRPr="00F17AD5">
        <w:rPr>
          <w:rFonts w:cs="Arial"/>
          <w:sz w:val="16"/>
          <w:szCs w:val="16"/>
        </w:rPr>
        <w:fldChar w:fldCharType="separate"/>
      </w:r>
      <w:r>
        <w:rPr>
          <w:rFonts w:cs="Arial"/>
          <w:noProof/>
          <w:sz w:val="16"/>
          <w:szCs w:val="16"/>
        </w:rPr>
        <w:tab/>
        <w:t>H</w:t>
      </w:r>
      <w:r w:rsidRPr="00F17AD5">
        <w:rPr>
          <w:rFonts w:cs="Arial"/>
          <w:noProof/>
          <w:sz w:val="16"/>
          <w:szCs w:val="16"/>
        </w:rPr>
        <w:t>olland</w:t>
      </w:r>
      <w:r>
        <w:rPr>
          <w:rFonts w:cs="Arial"/>
          <w:noProof/>
          <w:sz w:val="16"/>
          <w:szCs w:val="16"/>
        </w:rPr>
        <w:t xml:space="preserve"> E. </w:t>
      </w:r>
      <w:r w:rsidRPr="00F17AD5">
        <w:rPr>
          <w:rFonts w:cs="Arial"/>
          <w:noProof/>
          <w:sz w:val="16"/>
          <w:szCs w:val="16"/>
        </w:rPr>
        <w:t>Haslam</w:t>
      </w:r>
      <w:r>
        <w:rPr>
          <w:rFonts w:cs="Arial"/>
          <w:noProof/>
          <w:sz w:val="16"/>
          <w:szCs w:val="16"/>
        </w:rPr>
        <w:t xml:space="preserve"> N</w:t>
      </w:r>
      <w:r w:rsidRPr="00F17AD5">
        <w:rPr>
          <w:rFonts w:cs="Arial"/>
          <w:noProof/>
          <w:sz w:val="16"/>
          <w:szCs w:val="16"/>
        </w:rPr>
        <w:t xml:space="preserve"> (2016) Cute little things: the objectification of prepubescent girls. </w:t>
      </w:r>
      <w:r w:rsidRPr="00F17AD5">
        <w:rPr>
          <w:rFonts w:cs="Arial"/>
          <w:i/>
          <w:noProof/>
          <w:sz w:val="16"/>
          <w:szCs w:val="16"/>
        </w:rPr>
        <w:t>Psychology of Women Quarterly</w:t>
      </w:r>
      <w:r w:rsidRPr="00F17AD5">
        <w:rPr>
          <w:rFonts w:cs="Arial"/>
          <w:noProof/>
          <w:sz w:val="16"/>
          <w:szCs w:val="16"/>
        </w:rPr>
        <w:t>. 40 (1):108-19</w:t>
      </w:r>
      <w:r w:rsidRPr="00F17AD5">
        <w:rPr>
          <w:rFonts w:cs="Arial"/>
          <w:sz w:val="16"/>
          <w:szCs w:val="16"/>
        </w:rPr>
        <w:fldChar w:fldCharType="end"/>
      </w:r>
      <w:r w:rsidRPr="00F17AD5">
        <w:rPr>
          <w:rFonts w:cs="Arial"/>
          <w:sz w:val="16"/>
          <w:szCs w:val="16"/>
        </w:rPr>
        <w:t xml:space="preserve">. Available from: </w:t>
      </w:r>
      <w:hyperlink r:id="rId44" w:history="1">
        <w:r w:rsidRPr="00F17AD5">
          <w:rPr>
            <w:rStyle w:val="Hyperlink"/>
            <w:rFonts w:cs="Arial"/>
            <w:sz w:val="16"/>
            <w:szCs w:val="16"/>
          </w:rPr>
          <w:t>URL</w:t>
        </w:r>
      </w:hyperlink>
    </w:p>
  </w:footnote>
  <w:footnote w:id="53">
    <w:p w14:paraId="719F8A6E" w14:textId="48DE2890" w:rsidR="00B208C1" w:rsidRPr="00F17AD5" w:rsidRDefault="00B208C1" w:rsidP="00244F71">
      <w:pPr>
        <w:pStyle w:val="FootnoteText"/>
        <w:tabs>
          <w:tab w:val="left" w:pos="255"/>
          <w:tab w:val="left" w:pos="288"/>
        </w:tabs>
        <w:spacing w:after="40"/>
        <w:ind w:left="255" w:hanging="255"/>
        <w:jc w:val="both"/>
        <w:rPr>
          <w:rFonts w:cs="Arial"/>
          <w:sz w:val="16"/>
          <w:szCs w:val="16"/>
          <w:lang w:val="en-US"/>
        </w:rPr>
      </w:pPr>
      <w:r w:rsidRPr="003E6320">
        <w:rPr>
          <w:rStyle w:val="FootnoteReference"/>
          <w:rFonts w:cs="Arial"/>
          <w:sz w:val="18"/>
          <w:szCs w:val="18"/>
        </w:rPr>
        <w:footnoteRef/>
      </w:r>
      <w:r w:rsidRPr="00F17AD5">
        <w:rPr>
          <w:rFonts w:cs="Arial"/>
          <w:sz w:val="16"/>
          <w:szCs w:val="16"/>
        </w:rPr>
        <w:fldChar w:fldCharType="begin"/>
      </w:r>
      <w:r w:rsidRPr="00F17AD5">
        <w:rPr>
          <w:rFonts w:cs="Arial"/>
          <w:sz w:val="16"/>
          <w:szCs w:val="16"/>
        </w:rPr>
        <w:instrText xml:space="preserve"> ADDIN EN.CITE &lt;EndNote&gt;&lt;Cite&gt;&lt;Author&gt;Bauer&lt;/Author&gt;&lt;Year&gt;2013&lt;/Year&gt;&lt;RecNum&gt;260&lt;/RecNum&gt;&lt;DisplayText&gt;Bauer, Bucchianeri and Neumark-Sztainer (2013) Mother-reported parental weight talk and adolescent girls&amp;apos; emotional health, weight control attempts, and disordered eating behaviors. &lt;style face="italic"&gt;Journal of Eating Disorders&lt;/style&gt;. 1:45&lt;/DisplayText&gt;&lt;record&gt;&lt;rec-number&gt;260&lt;/rec-number&gt;&lt;foreign-keys&gt;&lt;key app="EN" db-id="ssa09sw2ttazvjex2225xtt350ewfx2vadfs"&gt;260&lt;/key&gt;&lt;/foreign-keys&gt;&lt;ref-type name="Journal Article"&gt;17&lt;/ref-type&gt;&lt;contributors&gt;&lt;authors&gt;&lt;author&gt;Bauer, K. W.&lt;/author&gt;&lt;author&gt;Bucchianeri, M. M.&lt;/author&gt;&lt;author&gt;Neumark-Sztainer, D.&lt;/author&gt;&lt;/authors&gt;&lt;/contributors&gt;&lt;auth-address&gt;Bauer,Katherine W. Department of Public Health and Center for Obesity Research and Education, Temple University, 1301 Cecil B. Moore Avenue, Ritter Annex 9th Floor, Philadelphia, PA 19122, USA.&amp;#xD;Bucchianeri,Michaela M. Division of Epidemiology and Community Health, School of Public Health, University of Minnesota, 1300 S. 2nd Street, WBOB 3rd floor, Minneapolis, MN 55455, USA.&amp;#xD;Neumark-Sztainer,Dianne. Division of Epidemiology and Community Health, School of Public Health, University of Minnesota, 1300 S. 2nd Street, WBOB 3rd floor, Minneapolis, MN 55455, USA.&lt;/auth-address&gt;&lt;titles&gt;&lt;title&gt;Mother-reported parental weight talk and adolescent girls&amp;apos; emotional health, weight control attempts, and disordered eating behaviors&lt;/title&gt;&lt;secondary-title&gt;Journal of Eating Disorders&lt;/secondary-title&gt;&lt;/titles&gt;&lt;periodical&gt;&lt;full-title&gt;Journal of Eating Disorders&lt;/full-title&gt;&lt;/periodical&gt;&lt;pages&gt;45&lt;/pages&gt;&lt;volume&gt;1&lt;/volume&gt;&lt;dates&gt;&lt;year&gt;2013&lt;/year&gt;&lt;/dates&gt;&lt;accession-num&gt;24999423&lt;/accession-num&gt;&lt;urls&gt;&lt;related-urls&gt;&lt;url&gt;https://jeatdisord.biomedcentral.com/articles/10.1186/2050-2974-1-45&lt;/url&gt;&lt;/related-urls&gt;&lt;/urls&gt;&lt;custom2&gt;PMC4081797&lt;/custom2&gt;&lt;remote-database-name&gt;MEDLINE&lt;/remote-database-name&gt;&lt;remote-database-provider&gt;Ovid Technologies&lt;/remote-database-provider&gt;&lt;/record&gt;&lt;/Cite&gt;&lt;/EndNote&gt;</w:instrText>
      </w:r>
      <w:r w:rsidRPr="00F17AD5">
        <w:rPr>
          <w:rFonts w:cs="Arial"/>
          <w:sz w:val="16"/>
          <w:szCs w:val="16"/>
        </w:rPr>
        <w:fldChar w:fldCharType="separate"/>
      </w:r>
      <w:r>
        <w:rPr>
          <w:rFonts w:cs="Arial"/>
          <w:noProof/>
          <w:sz w:val="16"/>
          <w:szCs w:val="16"/>
        </w:rPr>
        <w:tab/>
        <w:t>B</w:t>
      </w:r>
      <w:r w:rsidRPr="00F17AD5">
        <w:rPr>
          <w:rFonts w:cs="Arial"/>
          <w:noProof/>
          <w:sz w:val="16"/>
          <w:szCs w:val="16"/>
        </w:rPr>
        <w:t>auer</w:t>
      </w:r>
      <w:r>
        <w:rPr>
          <w:rFonts w:cs="Arial"/>
          <w:noProof/>
          <w:sz w:val="16"/>
          <w:szCs w:val="16"/>
        </w:rPr>
        <w:t xml:space="preserve"> KW</w:t>
      </w:r>
      <w:r w:rsidRPr="00F17AD5">
        <w:rPr>
          <w:rFonts w:cs="Arial"/>
          <w:noProof/>
          <w:sz w:val="16"/>
          <w:szCs w:val="16"/>
        </w:rPr>
        <w:t>, Bucchianeri</w:t>
      </w:r>
      <w:r>
        <w:rPr>
          <w:rFonts w:cs="Arial"/>
          <w:noProof/>
          <w:sz w:val="16"/>
          <w:szCs w:val="16"/>
        </w:rPr>
        <w:t xml:space="preserve"> MM, </w:t>
      </w:r>
      <w:r w:rsidRPr="00F17AD5">
        <w:rPr>
          <w:rFonts w:cs="Arial"/>
          <w:noProof/>
          <w:sz w:val="16"/>
          <w:szCs w:val="16"/>
        </w:rPr>
        <w:t>Neumark-Sztainer</w:t>
      </w:r>
      <w:r>
        <w:rPr>
          <w:rFonts w:cs="Arial"/>
          <w:noProof/>
          <w:sz w:val="16"/>
          <w:szCs w:val="16"/>
        </w:rPr>
        <w:t xml:space="preserve"> D</w:t>
      </w:r>
      <w:r w:rsidRPr="00F17AD5">
        <w:rPr>
          <w:rFonts w:cs="Arial"/>
          <w:noProof/>
          <w:sz w:val="16"/>
          <w:szCs w:val="16"/>
        </w:rPr>
        <w:t xml:space="preserve"> (2013) Mother-reported parental weight talk and adolescent girls' emotional health, weight control attempts, and disordered eating behaviors. </w:t>
      </w:r>
      <w:r w:rsidRPr="00F17AD5">
        <w:rPr>
          <w:rFonts w:cs="Arial"/>
          <w:i/>
          <w:noProof/>
          <w:sz w:val="16"/>
          <w:szCs w:val="16"/>
        </w:rPr>
        <w:t>Journal of Eating Disorders</w:t>
      </w:r>
      <w:r w:rsidRPr="00F17AD5">
        <w:rPr>
          <w:rFonts w:cs="Arial"/>
          <w:noProof/>
          <w:sz w:val="16"/>
          <w:szCs w:val="16"/>
        </w:rPr>
        <w:t>. 1</w:t>
      </w:r>
      <w:r>
        <w:rPr>
          <w:rFonts w:cs="Arial"/>
          <w:noProof/>
          <w:sz w:val="16"/>
          <w:szCs w:val="16"/>
        </w:rPr>
        <w:t>(Article</w:t>
      </w:r>
      <w:r w:rsidRPr="00F17AD5">
        <w:rPr>
          <w:rFonts w:cs="Arial"/>
          <w:noProof/>
          <w:sz w:val="16"/>
          <w:szCs w:val="16"/>
        </w:rPr>
        <w:t>:45</w:t>
      </w:r>
      <w:r w:rsidRPr="00F17AD5">
        <w:rPr>
          <w:rFonts w:cs="Arial"/>
          <w:sz w:val="16"/>
          <w:szCs w:val="16"/>
        </w:rPr>
        <w:fldChar w:fldCharType="end"/>
      </w:r>
      <w:r>
        <w:rPr>
          <w:rFonts w:cs="Arial"/>
          <w:sz w:val="16"/>
          <w:szCs w:val="16"/>
        </w:rPr>
        <w:t>):1-8</w:t>
      </w:r>
      <w:r w:rsidRPr="00F17AD5">
        <w:rPr>
          <w:rFonts w:cs="Arial"/>
          <w:sz w:val="16"/>
          <w:szCs w:val="16"/>
        </w:rPr>
        <w:t xml:space="preserve">. Available from: </w:t>
      </w:r>
      <w:hyperlink r:id="rId45" w:history="1">
        <w:r w:rsidRPr="00F17AD5">
          <w:rPr>
            <w:rStyle w:val="Hyperlink"/>
            <w:rFonts w:cs="Arial"/>
            <w:sz w:val="16"/>
            <w:szCs w:val="16"/>
          </w:rPr>
          <w:t>URL</w:t>
        </w:r>
      </w:hyperlink>
    </w:p>
  </w:footnote>
  <w:footnote w:id="54">
    <w:p w14:paraId="108EA296" w14:textId="5AC33D88" w:rsidR="00B208C1" w:rsidRPr="00F17AD5" w:rsidRDefault="00B208C1" w:rsidP="00244F71">
      <w:pPr>
        <w:pStyle w:val="NormalWeb"/>
        <w:shd w:val="clear" w:color="auto" w:fill="FFFFFF"/>
        <w:tabs>
          <w:tab w:val="left" w:pos="255"/>
          <w:tab w:val="left" w:pos="288"/>
        </w:tabs>
        <w:spacing w:after="40" w:line="240" w:lineRule="auto"/>
        <w:ind w:left="255" w:hanging="255"/>
        <w:jc w:val="both"/>
        <w:rPr>
          <w:rFonts w:ascii="Arial" w:hAnsi="Arial" w:cs="Arial"/>
          <w:color w:val="000000"/>
          <w:sz w:val="16"/>
          <w:szCs w:val="16"/>
        </w:rPr>
      </w:pPr>
      <w:r w:rsidRPr="003E6320">
        <w:rPr>
          <w:rStyle w:val="FootnoteReference"/>
          <w:rFonts w:ascii="Arial" w:hAnsi="Arial" w:cs="Arial"/>
          <w:sz w:val="18"/>
          <w:szCs w:val="18"/>
        </w:rPr>
        <w:footnoteRef/>
      </w:r>
      <w:r w:rsidRPr="00F17AD5">
        <w:rPr>
          <w:rFonts w:ascii="Arial" w:hAnsi="Arial" w:cs="Arial"/>
          <w:sz w:val="16"/>
          <w:szCs w:val="16"/>
        </w:rPr>
        <w:fldChar w:fldCharType="begin"/>
      </w:r>
      <w:r w:rsidRPr="00F17AD5">
        <w:rPr>
          <w:rFonts w:ascii="Arial" w:hAnsi="Arial" w:cs="Arial"/>
          <w:sz w:val="16"/>
          <w:szCs w:val="16"/>
        </w:rPr>
        <w:instrText xml:space="preserve"> ADDIN EN.CITE &lt;EndNote&gt;&lt;Cite&gt;&lt;Author&gt;Webb&lt;/Author&gt;&lt;Year&gt;2013&lt;/Year&gt;&lt;RecNum&gt;663&lt;/RecNum&gt;&lt;DisplayText&gt;Webb and Zimmer-Gembeck (2013) The role of friends and peers in adolescent body dissatisfaction : a review and critique of 15 years of research [Author manuscript submitted to Journal of Research on Adolescence]. &lt;style face="italic"&gt;Griffith Research Online&lt;/style&gt;&lt;/DisplayText&gt;&lt;record&gt;&lt;rec-number&gt;663&lt;/rec-number&gt;&lt;foreign-keys&gt;&lt;key app="EN" db-id="ssa09sw2ttazvjex2225xtt350ewfx2vadfs"&gt;663&lt;/key&gt;&lt;/foreign-keys&gt;&lt;ref-type name="Journal Article"&gt;17&lt;/ref-type&gt;&lt;contributors&gt;&lt;authors&gt;&lt;author&gt;Webb, Haley&lt;/author&gt;&lt;author&gt;Zimmer-Gembeck, Melanie&lt;/author&gt;&lt;/authors&gt;&lt;/contributors&gt;&lt;titles&gt;&lt;title&gt;The role of friends and peers in adolescent body dissatisfaction : a review and critique of 15 years of research [Author manuscript submitted to Journal of Research on Adolescence]&lt;/title&gt;&lt;secondary-title&gt;Griffith Research Online&lt;/secondary-title&gt;&lt;/titles&gt;&lt;periodical&gt;&lt;full-title&gt;Griffith Research Online&lt;/full-title&gt;&lt;/periodical&gt;&lt;dates&gt;&lt;year&gt;2013&lt;/year&gt;&lt;/dates&gt;&lt;publisher&gt;Griffith University &lt;/publisher&gt;&lt;urls&gt;&lt;related-urls&gt;&lt;url&gt;https://research-repository.griffith.edu.au/handle/10072/60405&lt;/url&gt;&lt;/related-urls&gt;&lt;/urls&gt;&lt;/record&gt;&lt;/Cite&gt;&lt;/EndNote&gt;</w:instrText>
      </w:r>
      <w:r w:rsidRPr="00F17AD5">
        <w:rPr>
          <w:rFonts w:ascii="Arial" w:hAnsi="Arial" w:cs="Arial"/>
          <w:sz w:val="16"/>
          <w:szCs w:val="16"/>
        </w:rPr>
        <w:fldChar w:fldCharType="separate"/>
      </w:r>
      <w:r>
        <w:rPr>
          <w:rFonts w:ascii="Arial" w:hAnsi="Arial" w:cs="Arial"/>
          <w:noProof/>
          <w:sz w:val="16"/>
          <w:szCs w:val="16"/>
        </w:rPr>
        <w:tab/>
        <w:t>W</w:t>
      </w:r>
      <w:r w:rsidRPr="00F17AD5">
        <w:rPr>
          <w:rFonts w:ascii="Arial" w:hAnsi="Arial" w:cs="Arial"/>
          <w:noProof/>
          <w:sz w:val="16"/>
          <w:szCs w:val="16"/>
        </w:rPr>
        <w:t>ebb</w:t>
      </w:r>
      <w:r>
        <w:rPr>
          <w:rFonts w:ascii="Arial" w:hAnsi="Arial" w:cs="Arial"/>
          <w:noProof/>
          <w:sz w:val="16"/>
          <w:szCs w:val="16"/>
        </w:rPr>
        <w:t xml:space="preserve"> HJ, </w:t>
      </w:r>
      <w:r w:rsidRPr="00F17AD5">
        <w:rPr>
          <w:rFonts w:ascii="Arial" w:hAnsi="Arial" w:cs="Arial"/>
          <w:noProof/>
          <w:sz w:val="16"/>
          <w:szCs w:val="16"/>
        </w:rPr>
        <w:t>Zimmer-Gembeck</w:t>
      </w:r>
      <w:r>
        <w:rPr>
          <w:rFonts w:ascii="Arial" w:hAnsi="Arial" w:cs="Arial"/>
          <w:noProof/>
          <w:sz w:val="16"/>
          <w:szCs w:val="16"/>
        </w:rPr>
        <w:t xml:space="preserve"> MJ</w:t>
      </w:r>
      <w:r w:rsidRPr="00F17AD5">
        <w:rPr>
          <w:rFonts w:ascii="Arial" w:hAnsi="Arial" w:cs="Arial"/>
          <w:noProof/>
          <w:sz w:val="16"/>
          <w:szCs w:val="16"/>
        </w:rPr>
        <w:t xml:space="preserve"> (2013) The role of friends and peers in adolescent body dissatisfaction : a review and critique of 15 years of research</w:t>
      </w:r>
      <w:r>
        <w:rPr>
          <w:rFonts w:ascii="Arial" w:hAnsi="Arial" w:cs="Arial"/>
          <w:noProof/>
          <w:sz w:val="16"/>
          <w:szCs w:val="16"/>
        </w:rPr>
        <w:t xml:space="preserve">. </w:t>
      </w:r>
      <w:r w:rsidRPr="00E52AE2">
        <w:rPr>
          <w:rFonts w:ascii="Arial" w:hAnsi="Arial" w:cs="Arial"/>
          <w:i/>
          <w:iCs/>
          <w:noProof/>
          <w:sz w:val="16"/>
          <w:szCs w:val="16"/>
        </w:rPr>
        <w:t>Journal of Research on Adolescence</w:t>
      </w:r>
      <w:r w:rsidRPr="00F17AD5">
        <w:rPr>
          <w:rFonts w:ascii="Arial" w:hAnsi="Arial" w:cs="Arial"/>
          <w:noProof/>
          <w:sz w:val="16"/>
          <w:szCs w:val="16"/>
        </w:rPr>
        <w:t xml:space="preserve">. </w:t>
      </w:r>
      <w:r w:rsidRPr="00F17AD5">
        <w:rPr>
          <w:rFonts w:ascii="Arial" w:hAnsi="Arial" w:cs="Arial"/>
          <w:sz w:val="16"/>
          <w:szCs w:val="16"/>
        </w:rPr>
        <w:fldChar w:fldCharType="end"/>
      </w:r>
      <w:r>
        <w:rPr>
          <w:rFonts w:ascii="Arial" w:hAnsi="Arial" w:cs="Arial"/>
          <w:sz w:val="16"/>
          <w:szCs w:val="16"/>
        </w:rPr>
        <w:t xml:space="preserve">24(4). [Author manuscript version; p. 27]. </w:t>
      </w:r>
      <w:r w:rsidRPr="00F17AD5">
        <w:rPr>
          <w:rFonts w:ascii="Arial" w:hAnsi="Arial" w:cs="Arial"/>
          <w:sz w:val="16"/>
          <w:szCs w:val="16"/>
        </w:rPr>
        <w:t xml:space="preserve">Available from: </w:t>
      </w:r>
      <w:hyperlink r:id="rId46" w:history="1">
        <w:r w:rsidRPr="00F17AD5">
          <w:rPr>
            <w:rStyle w:val="Hyperlink"/>
            <w:rFonts w:ascii="Arial" w:hAnsi="Arial" w:cs="Arial"/>
            <w:sz w:val="16"/>
            <w:szCs w:val="16"/>
          </w:rPr>
          <w:t>URL</w:t>
        </w:r>
      </w:hyperlink>
    </w:p>
  </w:footnote>
  <w:footnote w:id="55">
    <w:p w14:paraId="4B001B73" w14:textId="51CD7787" w:rsidR="00B208C1" w:rsidRPr="00F17AD5" w:rsidRDefault="00B208C1" w:rsidP="00244F71">
      <w:pPr>
        <w:pStyle w:val="FootnoteText"/>
        <w:tabs>
          <w:tab w:val="left" w:pos="255"/>
        </w:tabs>
        <w:spacing w:after="40"/>
        <w:ind w:left="255" w:hanging="255"/>
        <w:jc w:val="both"/>
        <w:rPr>
          <w:rFonts w:cs="Arial"/>
          <w:sz w:val="16"/>
          <w:szCs w:val="16"/>
        </w:rPr>
      </w:pPr>
      <w:r w:rsidRPr="003E6320">
        <w:rPr>
          <w:rStyle w:val="FootnoteReference"/>
          <w:rFonts w:cs="Arial"/>
          <w:sz w:val="18"/>
          <w:szCs w:val="18"/>
        </w:rPr>
        <w:footnoteRef/>
      </w:r>
      <w:r w:rsidRPr="003E6320">
        <w:rPr>
          <w:rFonts w:cs="Arial"/>
          <w:sz w:val="18"/>
          <w:szCs w:val="18"/>
        </w:rPr>
        <w:t xml:space="preserve"> </w:t>
      </w:r>
      <w:r>
        <w:rPr>
          <w:rFonts w:cs="Arial"/>
          <w:sz w:val="16"/>
          <w:szCs w:val="16"/>
        </w:rPr>
        <w:tab/>
      </w:r>
      <w:r w:rsidRPr="0061006A">
        <w:rPr>
          <w:rFonts w:cs="Arial"/>
          <w:sz w:val="16"/>
          <w:szCs w:val="16"/>
        </w:rPr>
        <w:t>Webster A, Anderson R, Barr M (2017) Growing up unequal: how sex and gender impact young women's health and wellbeing. Women's Health Victoria, Melbourne. - (</w:t>
      </w:r>
      <w:r w:rsidRPr="0061006A">
        <w:rPr>
          <w:rFonts w:cs="Arial"/>
          <w:i/>
          <w:iCs/>
          <w:sz w:val="16"/>
          <w:szCs w:val="16"/>
        </w:rPr>
        <w:t>Women's Health Issues Paper</w:t>
      </w:r>
      <w:r w:rsidRPr="0061006A">
        <w:rPr>
          <w:rFonts w:cs="Arial"/>
          <w:sz w:val="16"/>
          <w:szCs w:val="16"/>
        </w:rPr>
        <w:t xml:space="preserve">; 12). Available from: </w:t>
      </w:r>
      <w:hyperlink r:id="rId47" w:history="1">
        <w:r w:rsidRPr="0061006A">
          <w:rPr>
            <w:rStyle w:val="Hyperlink"/>
            <w:rFonts w:cs="Arial"/>
            <w:sz w:val="16"/>
            <w:szCs w:val="16"/>
          </w:rPr>
          <w:t>URL</w:t>
        </w:r>
      </w:hyperlink>
    </w:p>
  </w:footnote>
  <w:footnote w:id="56">
    <w:p w14:paraId="5E29E524" w14:textId="68212632" w:rsidR="00B208C1" w:rsidRPr="00F17AD5" w:rsidRDefault="00B208C1" w:rsidP="00244F71">
      <w:pPr>
        <w:shd w:val="clear" w:color="auto" w:fill="FFFFFF"/>
        <w:tabs>
          <w:tab w:val="left" w:pos="255"/>
          <w:tab w:val="left" w:pos="288"/>
        </w:tabs>
        <w:spacing w:after="40" w:line="240" w:lineRule="auto"/>
        <w:ind w:left="255" w:hanging="255"/>
        <w:jc w:val="both"/>
        <w:rPr>
          <w:rFonts w:ascii="Arial" w:hAnsi="Arial" w:cs="Arial"/>
          <w:color w:val="000000"/>
          <w:sz w:val="16"/>
          <w:szCs w:val="16"/>
          <w:shd w:val="clear" w:color="auto" w:fill="FFFFFF"/>
        </w:rPr>
      </w:pPr>
      <w:r w:rsidRPr="003E6320">
        <w:rPr>
          <w:rStyle w:val="FootnoteReference"/>
          <w:rFonts w:ascii="Arial" w:hAnsi="Arial" w:cs="Arial"/>
          <w:sz w:val="18"/>
          <w:szCs w:val="18"/>
        </w:rPr>
        <w:footnoteRef/>
      </w:r>
      <w:r w:rsidRPr="00F17AD5">
        <w:rPr>
          <w:rFonts w:ascii="Arial" w:hAnsi="Arial" w:cs="Arial"/>
          <w:sz w:val="16"/>
          <w:szCs w:val="16"/>
        </w:rPr>
        <w:fldChar w:fldCharType="begin"/>
      </w:r>
      <w:r w:rsidRPr="00F17AD5">
        <w:rPr>
          <w:rFonts w:ascii="Arial" w:hAnsi="Arial" w:cs="Arial"/>
          <w:sz w:val="16"/>
          <w:szCs w:val="16"/>
        </w:rPr>
        <w:instrText xml:space="preserve"> ADDIN EN.CITE &lt;EndNote&gt;&lt;Cite&gt;&lt;Author&gt;Eddy&lt;/Author&gt;&lt;Year&gt;2014&lt;/Year&gt;&lt;RecNum&gt;668&lt;/RecNum&gt;&lt;DisplayText&gt;Eddy (2014) Promoting self-esteem in overweight and obese girls. &lt;style face="italic"&gt;Women&amp;apos;s Healthcare : A Clinical Journal for NPs&lt;/style&gt; (Nov):32-7&lt;/DisplayText&gt;&lt;record&gt;&lt;rec-number&gt;668&lt;/rec-number&gt;&lt;foreign-keys&gt;&lt;key app="EN" db-id="ssa09sw2ttazvjex2225xtt350ewfx2vadfs"&gt;668&lt;/key&gt;&lt;/foreign-keys&gt;&lt;ref-type name="Journal Article"&gt;17&lt;/ref-type&gt;&lt;contributors&gt;&lt;authors&gt;&lt;author&gt;Eddy, Meaghan M.&lt;/author&gt;&lt;/authors&gt;&lt;/contributors&gt;&lt;titles&gt;&lt;title&gt;Promoting self-esteem in overweight and obese girls&lt;/title&gt;&lt;secondary-title&gt;Women&amp;apos;s Healthcare : A Clinical Journal for NPs&lt;/secondary-title&gt;&lt;/titles&gt;&lt;periodical&gt;&lt;full-title&gt;Women&amp;apos;s Healthcare : A Clinical Journal for NPs&lt;/full-title&gt;&lt;/periodical&gt;&lt;pages&gt;32-37&lt;/pages&gt;&lt;number&gt;Nov&lt;/number&gt;&lt;dates&gt;&lt;year&gt;2014&lt;/year&gt;&lt;/dates&gt;&lt;urls&gt;&lt;related-urls&gt;&lt;url&gt;https://npwomenshealthcare.com/promoting-self-esteem-in-overweight-and-obese-girls/&lt;/url&gt;&lt;/related-urls&gt;&lt;/urls&gt;&lt;/record&gt;&lt;/Cite&gt;&lt;/EndNote&gt;</w:instrText>
      </w:r>
      <w:r w:rsidRPr="00F17AD5">
        <w:rPr>
          <w:rFonts w:ascii="Arial" w:hAnsi="Arial" w:cs="Arial"/>
          <w:sz w:val="16"/>
          <w:szCs w:val="16"/>
        </w:rPr>
        <w:fldChar w:fldCharType="separate"/>
      </w:r>
      <w:r>
        <w:rPr>
          <w:rFonts w:ascii="Arial" w:hAnsi="Arial" w:cs="Arial"/>
          <w:noProof/>
          <w:sz w:val="16"/>
          <w:szCs w:val="16"/>
        </w:rPr>
        <w:tab/>
        <w:t>E</w:t>
      </w:r>
      <w:r w:rsidRPr="00F17AD5">
        <w:rPr>
          <w:rFonts w:ascii="Arial" w:hAnsi="Arial" w:cs="Arial"/>
          <w:noProof/>
          <w:sz w:val="16"/>
          <w:szCs w:val="16"/>
        </w:rPr>
        <w:t>ddy</w:t>
      </w:r>
      <w:r>
        <w:rPr>
          <w:rFonts w:ascii="Arial" w:hAnsi="Arial" w:cs="Arial"/>
          <w:noProof/>
          <w:sz w:val="16"/>
          <w:szCs w:val="16"/>
        </w:rPr>
        <w:t xml:space="preserve"> MM</w:t>
      </w:r>
      <w:r w:rsidRPr="00F17AD5">
        <w:rPr>
          <w:rFonts w:ascii="Arial" w:hAnsi="Arial" w:cs="Arial"/>
          <w:noProof/>
          <w:sz w:val="16"/>
          <w:szCs w:val="16"/>
        </w:rPr>
        <w:t xml:space="preserve"> (2014) Promoting self-esteem in overweight and obese girls. </w:t>
      </w:r>
      <w:r w:rsidRPr="00F17AD5">
        <w:rPr>
          <w:rFonts w:ascii="Arial" w:hAnsi="Arial" w:cs="Arial"/>
          <w:i/>
          <w:noProof/>
          <w:sz w:val="16"/>
          <w:szCs w:val="16"/>
        </w:rPr>
        <w:t>Women's Healthcare: A Clinical Journal for NPs</w:t>
      </w:r>
      <w:r>
        <w:rPr>
          <w:rFonts w:ascii="Arial" w:hAnsi="Arial" w:cs="Arial"/>
          <w:i/>
          <w:noProof/>
          <w:sz w:val="16"/>
          <w:szCs w:val="16"/>
        </w:rPr>
        <w:t xml:space="preserve">. </w:t>
      </w:r>
      <w:r w:rsidRPr="00F17AD5">
        <w:rPr>
          <w:rFonts w:ascii="Arial" w:hAnsi="Arial" w:cs="Arial"/>
          <w:noProof/>
          <w:sz w:val="16"/>
          <w:szCs w:val="16"/>
        </w:rPr>
        <w:t>(</w:t>
      </w:r>
      <w:r>
        <w:rPr>
          <w:rFonts w:ascii="Arial" w:hAnsi="Arial" w:cs="Arial"/>
          <w:noProof/>
          <w:sz w:val="16"/>
          <w:szCs w:val="16"/>
        </w:rPr>
        <w:t>Oct 9</w:t>
      </w:r>
      <w:r w:rsidRPr="00F17AD5">
        <w:rPr>
          <w:rFonts w:ascii="Arial" w:hAnsi="Arial" w:cs="Arial"/>
          <w:noProof/>
          <w:sz w:val="16"/>
          <w:szCs w:val="16"/>
        </w:rPr>
        <w:t>):</w:t>
      </w:r>
      <w:r>
        <w:rPr>
          <w:rFonts w:ascii="Arial" w:hAnsi="Arial" w:cs="Arial"/>
          <w:noProof/>
          <w:sz w:val="16"/>
          <w:szCs w:val="16"/>
        </w:rPr>
        <w:t xml:space="preserve"> webpage</w:t>
      </w:r>
      <w:r w:rsidRPr="00F17AD5">
        <w:rPr>
          <w:rFonts w:ascii="Arial" w:hAnsi="Arial" w:cs="Arial"/>
          <w:sz w:val="16"/>
          <w:szCs w:val="16"/>
        </w:rPr>
        <w:fldChar w:fldCharType="end"/>
      </w:r>
      <w:r w:rsidRPr="00F17AD5">
        <w:rPr>
          <w:rFonts w:ascii="Arial" w:hAnsi="Arial" w:cs="Arial"/>
          <w:sz w:val="16"/>
          <w:szCs w:val="16"/>
        </w:rPr>
        <w:t xml:space="preserve">. Available from: </w:t>
      </w:r>
      <w:hyperlink r:id="rId48" w:history="1">
        <w:r w:rsidRPr="00F17AD5">
          <w:rPr>
            <w:rStyle w:val="Hyperlink"/>
            <w:rFonts w:ascii="Arial" w:hAnsi="Arial" w:cs="Arial"/>
            <w:sz w:val="16"/>
            <w:szCs w:val="16"/>
          </w:rPr>
          <w:t>URL</w:t>
        </w:r>
      </w:hyperlink>
    </w:p>
  </w:footnote>
  <w:footnote w:id="57">
    <w:p w14:paraId="0848722B" w14:textId="668A4572" w:rsidR="00B208C1" w:rsidRPr="00F17AD5" w:rsidRDefault="00B208C1" w:rsidP="00244F71">
      <w:pPr>
        <w:pStyle w:val="NormalWeb"/>
        <w:shd w:val="clear" w:color="auto" w:fill="FFFFFF"/>
        <w:tabs>
          <w:tab w:val="left" w:pos="255"/>
          <w:tab w:val="left" w:pos="288"/>
        </w:tabs>
        <w:spacing w:after="40" w:line="240" w:lineRule="auto"/>
        <w:ind w:left="255" w:hanging="255"/>
        <w:jc w:val="both"/>
        <w:rPr>
          <w:rFonts w:ascii="Arial" w:hAnsi="Arial" w:cs="Arial"/>
          <w:color w:val="000000"/>
          <w:sz w:val="16"/>
          <w:szCs w:val="16"/>
        </w:rPr>
      </w:pPr>
      <w:r w:rsidRPr="003E6320">
        <w:rPr>
          <w:rStyle w:val="FootnoteReference"/>
          <w:rFonts w:ascii="Arial" w:hAnsi="Arial" w:cs="Arial"/>
          <w:sz w:val="18"/>
          <w:szCs w:val="18"/>
        </w:rPr>
        <w:footnoteRef/>
      </w:r>
      <w:bookmarkStart w:id="11" w:name="_Hlk55993480"/>
      <w:r w:rsidRPr="00166387">
        <w:rPr>
          <w:rFonts w:ascii="Arial" w:hAnsi="Arial" w:cs="Arial"/>
          <w:sz w:val="16"/>
          <w:szCs w:val="16"/>
        </w:rPr>
        <w:fldChar w:fldCharType="begin"/>
      </w:r>
      <w:r w:rsidRPr="00166387">
        <w:rPr>
          <w:rFonts w:ascii="Arial" w:hAnsi="Arial" w:cs="Arial"/>
          <w:sz w:val="16"/>
          <w:szCs w:val="16"/>
        </w:rPr>
        <w:instrText xml:space="preserve"> ADDIN EN.CITE &lt;EndNote&gt;&lt;Cite&gt;&lt;Author&gt;Flaxman&lt;/Author&gt;&lt;Year&gt;2012&lt;/Year&gt;&lt;RecNum&gt;664&lt;/RecNum&gt;&lt;DisplayText&gt;Flaxman, Skattebol, Megan Bedford and Valentine (2012) National Youth Affairs Research Scheme (NYARS) : Body Image and Disadvantaged / Vulnerable Youth : final report&lt;/DisplayText&gt;&lt;record&gt;&lt;rec-number&gt;664&lt;/rec-number&gt;&lt;foreign-keys&gt;&lt;key app="EN" db-id="ssa09sw2ttazvjex2225xtt350ewfx2vadfs"&gt;664&lt;/key&gt;&lt;/foreign-keys&gt;&lt;ref-type name="Book"&gt;6&lt;/ref-type&gt;&lt;contributors&gt;&lt;authors&gt;&lt;author&gt;Flaxman, Saul&lt;/author&gt;&lt;author&gt;Skattebol, Jen&lt;/author&gt;&lt;author&gt;Megan Bedford, Megan&lt;/author&gt;&lt;author&gt;Valentine, Kylie&lt;/author&gt;&lt;/authors&gt;&lt;/contributors&gt;&lt;titles&gt;&lt;title&gt;National Youth Affairs Research Scheme (NYARS) : Body Image and Disadvantaged / Vulnerable Youth : final report&lt;/title&gt;&lt;/titles&gt;&lt;dates&gt;&lt;year&gt;2012&lt;/year&gt;&lt;/dates&gt;&lt;pub-location&gt;Sydney&lt;/pub-location&gt;&lt;publisher&gt;University of New South Wales. Social Policy Research Centre&lt;/publisher&gt;&lt;isbn&gt;978-0-642-78529-9 (online PDF)&lt;/isbn&gt;&lt;urls&gt;&lt;related-urls&gt;&lt;url&gt;https://docs.education.gov.au/system/files/doc/other/body_image_and_disadvantaged_vulnerable_youth_final_report.pdf&lt;/url&gt;&lt;/related-urls&gt;&lt;/urls&gt;&lt;/record&gt;&lt;/Cite&gt;&lt;/EndNote&gt;</w:instrText>
      </w:r>
      <w:r w:rsidRPr="00166387">
        <w:rPr>
          <w:rFonts w:ascii="Arial" w:hAnsi="Arial" w:cs="Arial"/>
          <w:sz w:val="16"/>
          <w:szCs w:val="16"/>
        </w:rPr>
        <w:fldChar w:fldCharType="separate"/>
      </w:r>
      <w:r w:rsidRPr="00166387">
        <w:rPr>
          <w:rFonts w:ascii="Arial" w:hAnsi="Arial" w:cs="Arial"/>
          <w:noProof/>
          <w:sz w:val="16"/>
          <w:szCs w:val="16"/>
        </w:rPr>
        <w:tab/>
        <w:t>Flaxman S, Skattebol J, Bedford M, Valentine K (2012) National Youth Affairs Research Scheme (NYARS): body image and disadvantaged/vulnerable youth: final report</w:t>
      </w:r>
      <w:r w:rsidRPr="00166387">
        <w:rPr>
          <w:rFonts w:ascii="Arial" w:hAnsi="Arial" w:cs="Arial"/>
          <w:sz w:val="16"/>
          <w:szCs w:val="16"/>
        </w:rPr>
        <w:fldChar w:fldCharType="end"/>
      </w:r>
      <w:r w:rsidRPr="00166387">
        <w:rPr>
          <w:rFonts w:ascii="Arial" w:hAnsi="Arial" w:cs="Arial"/>
          <w:sz w:val="16"/>
          <w:szCs w:val="16"/>
        </w:rPr>
        <w:t xml:space="preserve">. University of NSW. Social Policy Research Centre, Sydney, p. 4. Available from: </w:t>
      </w:r>
      <w:hyperlink r:id="rId49" w:history="1">
        <w:r w:rsidRPr="00166387">
          <w:rPr>
            <w:rStyle w:val="Hyperlink"/>
            <w:rFonts w:ascii="Arial" w:hAnsi="Arial" w:cs="Arial"/>
            <w:sz w:val="16"/>
            <w:szCs w:val="16"/>
          </w:rPr>
          <w:t>URL</w:t>
        </w:r>
      </w:hyperlink>
    </w:p>
    <w:bookmarkEnd w:id="11"/>
  </w:footnote>
  <w:footnote w:id="58">
    <w:p w14:paraId="5E509829" w14:textId="1A22B10B" w:rsidR="00B208C1" w:rsidRPr="00FE30A3" w:rsidRDefault="00B208C1" w:rsidP="00244F71">
      <w:pPr>
        <w:pStyle w:val="NormalWeb"/>
        <w:shd w:val="clear" w:color="auto" w:fill="FFFFFF"/>
        <w:tabs>
          <w:tab w:val="left" w:pos="255"/>
          <w:tab w:val="left" w:pos="288"/>
        </w:tabs>
        <w:spacing w:after="40" w:line="240" w:lineRule="auto"/>
        <w:ind w:left="255" w:hanging="255"/>
        <w:jc w:val="both"/>
        <w:rPr>
          <w:rFonts w:ascii="Arial" w:hAnsi="Arial" w:cs="Arial"/>
          <w:color w:val="000000"/>
          <w:sz w:val="16"/>
          <w:szCs w:val="16"/>
        </w:rPr>
      </w:pPr>
      <w:r w:rsidRPr="00530AC7">
        <w:rPr>
          <w:rStyle w:val="FootnoteReference"/>
          <w:rFonts w:ascii="Arial" w:hAnsi="Arial" w:cs="Arial"/>
          <w:sz w:val="18"/>
          <w:szCs w:val="18"/>
        </w:rPr>
        <w:footnoteRef/>
      </w:r>
      <w:r w:rsidRPr="00FE30A3">
        <w:rPr>
          <w:rFonts w:ascii="Arial" w:hAnsi="Arial" w:cs="Arial"/>
          <w:color w:val="000000"/>
          <w:sz w:val="16"/>
          <w:szCs w:val="16"/>
        </w:rPr>
        <w:t xml:space="preserve"> </w:t>
      </w:r>
      <w:r>
        <w:rPr>
          <w:rFonts w:ascii="Arial" w:hAnsi="Arial" w:cs="Arial"/>
          <w:color w:val="000000"/>
          <w:sz w:val="16"/>
          <w:szCs w:val="16"/>
        </w:rPr>
        <w:t xml:space="preserve">  </w:t>
      </w:r>
      <w:r>
        <w:rPr>
          <w:rFonts w:ascii="Arial" w:hAnsi="Arial" w:cs="Arial"/>
          <w:sz w:val="16"/>
          <w:szCs w:val="16"/>
        </w:rPr>
        <w:t>ibid</w:t>
      </w:r>
      <w:r w:rsidRPr="00166387">
        <w:rPr>
          <w:rFonts w:ascii="Arial" w:hAnsi="Arial" w:cs="Arial"/>
          <w:sz w:val="16"/>
          <w:szCs w:val="16"/>
        </w:rPr>
        <w:t xml:space="preserve">. Available from: </w:t>
      </w:r>
      <w:hyperlink r:id="rId50" w:history="1">
        <w:r w:rsidRPr="00166387">
          <w:rPr>
            <w:rStyle w:val="Hyperlink"/>
            <w:rFonts w:ascii="Arial" w:hAnsi="Arial" w:cs="Arial"/>
            <w:sz w:val="16"/>
            <w:szCs w:val="16"/>
          </w:rPr>
          <w:t>URL</w:t>
        </w:r>
      </w:hyperlink>
    </w:p>
  </w:footnote>
  <w:footnote w:id="59">
    <w:p w14:paraId="54EA541B" w14:textId="3BA28AF6" w:rsidR="00B208C1" w:rsidRPr="00FE30A3" w:rsidRDefault="00B208C1" w:rsidP="00244F71">
      <w:pPr>
        <w:pStyle w:val="NormalWeb"/>
        <w:shd w:val="clear" w:color="auto" w:fill="FFFFFF"/>
        <w:tabs>
          <w:tab w:val="left" w:pos="255"/>
          <w:tab w:val="left" w:pos="288"/>
        </w:tabs>
        <w:spacing w:after="40" w:line="240" w:lineRule="auto"/>
        <w:ind w:left="255" w:hanging="255"/>
        <w:jc w:val="both"/>
        <w:rPr>
          <w:rFonts w:ascii="Arial" w:hAnsi="Arial" w:cs="Arial"/>
          <w:sz w:val="16"/>
          <w:szCs w:val="16"/>
        </w:rPr>
      </w:pPr>
      <w:r w:rsidRPr="00530AC7">
        <w:rPr>
          <w:rStyle w:val="FootnoteReference"/>
          <w:rFonts w:ascii="Arial" w:hAnsi="Arial" w:cs="Arial"/>
          <w:sz w:val="18"/>
          <w:szCs w:val="18"/>
        </w:rPr>
        <w:footnoteRef/>
      </w:r>
      <w:r w:rsidRPr="00530AC7">
        <w:rPr>
          <w:rFonts w:ascii="Arial" w:hAnsi="Arial" w:cs="Arial"/>
          <w:sz w:val="18"/>
          <w:szCs w:val="18"/>
        </w:rPr>
        <w:t xml:space="preserve"> </w:t>
      </w:r>
      <w:r>
        <w:rPr>
          <w:rFonts w:ascii="Arial" w:hAnsi="Arial" w:cs="Arial"/>
          <w:sz w:val="16"/>
          <w:szCs w:val="16"/>
        </w:rPr>
        <w:tab/>
        <w:t xml:space="preserve">Ibid. </w:t>
      </w:r>
      <w:r w:rsidRPr="00166387">
        <w:rPr>
          <w:rFonts w:ascii="Arial" w:hAnsi="Arial" w:cs="Arial"/>
          <w:sz w:val="16"/>
          <w:szCs w:val="16"/>
        </w:rPr>
        <w:t xml:space="preserve">Available from: </w:t>
      </w:r>
      <w:hyperlink r:id="rId51" w:history="1">
        <w:r w:rsidRPr="00166387">
          <w:rPr>
            <w:rStyle w:val="Hyperlink"/>
            <w:rFonts w:ascii="Arial" w:hAnsi="Arial" w:cs="Arial"/>
            <w:sz w:val="16"/>
            <w:szCs w:val="16"/>
          </w:rPr>
          <w:t>URL</w:t>
        </w:r>
      </w:hyperlink>
    </w:p>
  </w:footnote>
  <w:footnote w:id="60">
    <w:p w14:paraId="35DFAD37" w14:textId="77777777" w:rsidR="00B208C1" w:rsidRPr="00F17AD5" w:rsidRDefault="00B208C1" w:rsidP="00B3212C">
      <w:pPr>
        <w:pStyle w:val="FootnoteText"/>
        <w:tabs>
          <w:tab w:val="left" w:pos="255"/>
          <w:tab w:val="left" w:pos="1843"/>
        </w:tabs>
        <w:spacing w:after="40"/>
        <w:ind w:left="255" w:hanging="255"/>
        <w:jc w:val="both"/>
        <w:rPr>
          <w:rFonts w:cs="Arial"/>
          <w:sz w:val="16"/>
          <w:szCs w:val="16"/>
        </w:rPr>
      </w:pPr>
      <w:r w:rsidRPr="005D0793">
        <w:rPr>
          <w:rStyle w:val="FootnoteReference"/>
          <w:rFonts w:cs="Arial"/>
          <w:sz w:val="18"/>
          <w:szCs w:val="18"/>
        </w:rPr>
        <w:footnoteRef/>
      </w:r>
      <w:r w:rsidRPr="00F17AD5">
        <w:rPr>
          <w:rFonts w:cs="Arial"/>
          <w:sz w:val="16"/>
          <w:szCs w:val="16"/>
        </w:rPr>
        <w:t xml:space="preserve"> </w:t>
      </w:r>
      <w:r>
        <w:rPr>
          <w:rFonts w:cs="Arial"/>
          <w:sz w:val="16"/>
          <w:szCs w:val="16"/>
        </w:rPr>
        <w:tab/>
      </w:r>
      <w:r w:rsidRPr="00F17AD5">
        <w:rPr>
          <w:rStyle w:val="normaltextrun"/>
          <w:rFonts w:cs="Arial"/>
          <w:color w:val="000000"/>
          <w:sz w:val="16"/>
          <w:szCs w:val="16"/>
        </w:rPr>
        <w:t>Dunstan CJ, Paxton SJ, McLean SA (2017)</w:t>
      </w:r>
      <w:r>
        <w:rPr>
          <w:rStyle w:val="normaltextrun"/>
          <w:rFonts w:cs="Arial"/>
          <w:color w:val="000000"/>
          <w:sz w:val="16"/>
          <w:szCs w:val="16"/>
        </w:rPr>
        <w:t xml:space="preserve"> </w:t>
      </w:r>
      <w:r w:rsidRPr="005D0793">
        <w:rPr>
          <w:rStyle w:val="normaltextrun"/>
          <w:rFonts w:cs="Arial"/>
          <w:color w:val="000000"/>
          <w:sz w:val="16"/>
          <w:szCs w:val="16"/>
        </w:rPr>
        <w:t>An</w:t>
      </w:r>
      <w:r>
        <w:rPr>
          <w:rStyle w:val="normaltextrun"/>
          <w:rFonts w:cs="Arial"/>
          <w:color w:val="000000"/>
          <w:sz w:val="16"/>
          <w:szCs w:val="16"/>
        </w:rPr>
        <w:t xml:space="preserve"> </w:t>
      </w:r>
      <w:r w:rsidRPr="005D0793">
        <w:rPr>
          <w:rStyle w:val="normaltextrun"/>
          <w:rFonts w:cs="Arial"/>
          <w:color w:val="000000"/>
          <w:sz w:val="16"/>
          <w:szCs w:val="16"/>
        </w:rPr>
        <w:t>evaluation of a body image intervention in adolescent girls delivered in</w:t>
      </w:r>
      <w:r>
        <w:rPr>
          <w:rStyle w:val="normaltextrun"/>
          <w:rFonts w:cs="Arial"/>
          <w:color w:val="000000"/>
          <w:sz w:val="16"/>
          <w:szCs w:val="16"/>
        </w:rPr>
        <w:t xml:space="preserve"> </w:t>
      </w:r>
      <w:r w:rsidRPr="005D0793">
        <w:rPr>
          <w:rStyle w:val="normaltextrun"/>
          <w:rFonts w:cs="Arial"/>
          <w:color w:val="000000"/>
          <w:sz w:val="16"/>
          <w:szCs w:val="16"/>
        </w:rPr>
        <w:t>single-sex</w:t>
      </w:r>
      <w:r>
        <w:rPr>
          <w:rStyle w:val="normaltextrun"/>
          <w:rFonts w:cs="Arial"/>
          <w:color w:val="000000"/>
          <w:sz w:val="16"/>
          <w:szCs w:val="16"/>
        </w:rPr>
        <w:t xml:space="preserve"> </w:t>
      </w:r>
      <w:r w:rsidRPr="005D0793">
        <w:rPr>
          <w:rStyle w:val="normaltextrun"/>
          <w:rFonts w:cs="Arial"/>
          <w:color w:val="000000"/>
          <w:sz w:val="16"/>
          <w:szCs w:val="16"/>
        </w:rPr>
        <w:t>versus co-educational classroom settings.</w:t>
      </w:r>
      <w:r w:rsidRPr="00F17AD5">
        <w:rPr>
          <w:rStyle w:val="normaltextrun"/>
          <w:rFonts w:cs="Arial"/>
          <w:color w:val="000000"/>
          <w:sz w:val="16"/>
          <w:szCs w:val="16"/>
        </w:rPr>
        <w:t xml:space="preserve"> </w:t>
      </w:r>
      <w:r w:rsidRPr="005D0793">
        <w:rPr>
          <w:rStyle w:val="normaltextrun"/>
          <w:rFonts w:cs="Arial"/>
          <w:i/>
          <w:iCs/>
          <w:color w:val="000000"/>
          <w:sz w:val="16"/>
          <w:szCs w:val="16"/>
        </w:rPr>
        <w:t>Eating</w:t>
      </w:r>
      <w:r>
        <w:rPr>
          <w:rStyle w:val="normaltextrun"/>
          <w:rFonts w:cs="Arial"/>
          <w:i/>
          <w:iCs/>
          <w:color w:val="000000"/>
          <w:sz w:val="16"/>
          <w:szCs w:val="16"/>
        </w:rPr>
        <w:t xml:space="preserve"> </w:t>
      </w:r>
      <w:proofErr w:type="spellStart"/>
      <w:r w:rsidRPr="005D0793">
        <w:rPr>
          <w:rStyle w:val="normaltextrun"/>
          <w:rFonts w:cs="Arial"/>
          <w:i/>
          <w:iCs/>
          <w:color w:val="000000"/>
          <w:sz w:val="16"/>
          <w:szCs w:val="16"/>
        </w:rPr>
        <w:t>Behaviors</w:t>
      </w:r>
      <w:proofErr w:type="spellEnd"/>
      <w:r w:rsidRPr="00F17AD5">
        <w:rPr>
          <w:rStyle w:val="normaltextrun"/>
          <w:rFonts w:cs="Arial"/>
          <w:color w:val="000000"/>
          <w:sz w:val="16"/>
          <w:szCs w:val="16"/>
        </w:rPr>
        <w:t>. 25</w:t>
      </w:r>
      <w:r>
        <w:rPr>
          <w:rStyle w:val="normaltextrun"/>
          <w:rFonts w:cs="Arial"/>
          <w:color w:val="000000"/>
          <w:sz w:val="16"/>
          <w:szCs w:val="16"/>
        </w:rPr>
        <w:t>(Apr)</w:t>
      </w:r>
      <w:r w:rsidRPr="00F17AD5">
        <w:rPr>
          <w:rStyle w:val="normaltextrun"/>
          <w:rFonts w:cs="Arial"/>
          <w:color w:val="000000"/>
          <w:sz w:val="16"/>
          <w:szCs w:val="16"/>
        </w:rPr>
        <w:t>:23-31.</w:t>
      </w:r>
    </w:p>
  </w:footnote>
  <w:footnote w:id="61">
    <w:p w14:paraId="3CA96946" w14:textId="169F8E94" w:rsidR="00B208C1" w:rsidRPr="00FE30A3" w:rsidRDefault="00B208C1" w:rsidP="00244F71">
      <w:pPr>
        <w:pStyle w:val="FootnoteText"/>
        <w:tabs>
          <w:tab w:val="left" w:pos="255"/>
          <w:tab w:val="left" w:pos="357"/>
        </w:tabs>
        <w:spacing w:after="40"/>
        <w:ind w:left="255" w:hanging="255"/>
        <w:jc w:val="both"/>
        <w:rPr>
          <w:rFonts w:cs="Arial"/>
          <w:sz w:val="16"/>
          <w:szCs w:val="16"/>
        </w:rPr>
      </w:pPr>
      <w:r w:rsidRPr="00530AC7">
        <w:rPr>
          <w:rStyle w:val="FootnoteReference"/>
          <w:rFonts w:cs="Arial"/>
          <w:sz w:val="18"/>
          <w:szCs w:val="18"/>
        </w:rPr>
        <w:footnoteRef/>
      </w:r>
      <w:r w:rsidRPr="00530AC7">
        <w:rPr>
          <w:rFonts w:cs="Arial"/>
          <w:sz w:val="18"/>
          <w:szCs w:val="18"/>
        </w:rPr>
        <w:t xml:space="preserve"> </w:t>
      </w:r>
      <w:r>
        <w:rPr>
          <w:rFonts w:cs="Arial"/>
          <w:sz w:val="16"/>
          <w:szCs w:val="16"/>
        </w:rPr>
        <w:tab/>
        <w:t>W</w:t>
      </w:r>
      <w:r w:rsidRPr="0061006A">
        <w:rPr>
          <w:rFonts w:cs="Arial"/>
          <w:sz w:val="16"/>
          <w:szCs w:val="16"/>
        </w:rPr>
        <w:t>ebster A, Anderson R, Barr M (2017) Growing up unequal: how sex and gender impact young women's health and wellbeing. Women's Health Victoria, Melbourne. - (</w:t>
      </w:r>
      <w:r w:rsidRPr="0061006A">
        <w:rPr>
          <w:rFonts w:cs="Arial"/>
          <w:i/>
          <w:iCs/>
          <w:sz w:val="16"/>
          <w:szCs w:val="16"/>
        </w:rPr>
        <w:t>Women's Health Issues Paper</w:t>
      </w:r>
      <w:r w:rsidRPr="0061006A">
        <w:rPr>
          <w:rFonts w:cs="Arial"/>
          <w:sz w:val="16"/>
          <w:szCs w:val="16"/>
        </w:rPr>
        <w:t xml:space="preserve">; 12). Available from: </w:t>
      </w:r>
      <w:hyperlink r:id="rId52" w:history="1">
        <w:r w:rsidRPr="0061006A">
          <w:rPr>
            <w:rStyle w:val="Hyperlink"/>
            <w:rFonts w:cs="Arial"/>
            <w:sz w:val="16"/>
            <w:szCs w:val="16"/>
          </w:rPr>
          <w:t>URL</w:t>
        </w:r>
      </w:hyperlink>
    </w:p>
  </w:footnote>
  <w:footnote w:id="62">
    <w:p w14:paraId="4A38779F" w14:textId="1C18B282" w:rsidR="00B208C1" w:rsidRPr="00FE30A3" w:rsidRDefault="00B208C1" w:rsidP="00244F71">
      <w:pPr>
        <w:pStyle w:val="FootnoteText"/>
        <w:tabs>
          <w:tab w:val="left" w:pos="255"/>
        </w:tabs>
        <w:spacing w:after="40"/>
        <w:ind w:left="255" w:hanging="255"/>
        <w:jc w:val="both"/>
        <w:rPr>
          <w:rFonts w:cs="Arial"/>
          <w:sz w:val="16"/>
          <w:szCs w:val="16"/>
        </w:rPr>
      </w:pPr>
      <w:r w:rsidRPr="00530AC7">
        <w:rPr>
          <w:rStyle w:val="FootnoteReference"/>
          <w:rFonts w:cs="Arial"/>
          <w:sz w:val="18"/>
          <w:szCs w:val="18"/>
        </w:rPr>
        <w:footnoteRef/>
      </w:r>
      <w:r w:rsidRPr="00FE30A3">
        <w:rPr>
          <w:rFonts w:cs="Arial"/>
          <w:sz w:val="16"/>
          <w:szCs w:val="16"/>
        </w:rPr>
        <w:t xml:space="preserve"> </w:t>
      </w:r>
      <w:r>
        <w:rPr>
          <w:rFonts w:cs="Arial"/>
          <w:sz w:val="16"/>
          <w:szCs w:val="16"/>
        </w:rPr>
        <w:tab/>
      </w:r>
      <w:r w:rsidRPr="00FE30A3">
        <w:rPr>
          <w:rFonts w:cs="Arial"/>
          <w:sz w:val="16"/>
          <w:szCs w:val="16"/>
        </w:rPr>
        <w:t>Bor W, Dean AJ, Najman J, et al. (2014) Are child and adolescent mental health problems increasing in the 21st century?</w:t>
      </w:r>
      <w:r>
        <w:rPr>
          <w:rFonts w:cs="Arial"/>
          <w:sz w:val="16"/>
          <w:szCs w:val="16"/>
        </w:rPr>
        <w:t>:</w:t>
      </w:r>
      <w:r w:rsidRPr="00FE30A3">
        <w:rPr>
          <w:rFonts w:cs="Arial"/>
          <w:sz w:val="16"/>
          <w:szCs w:val="16"/>
        </w:rPr>
        <w:t xml:space="preserve"> a systematic review</w:t>
      </w:r>
      <w:r>
        <w:rPr>
          <w:rFonts w:cs="Arial"/>
          <w:sz w:val="16"/>
          <w:szCs w:val="16"/>
        </w:rPr>
        <w:t>.</w:t>
      </w:r>
      <w:r w:rsidRPr="00FE30A3">
        <w:rPr>
          <w:rFonts w:cs="Arial"/>
          <w:sz w:val="16"/>
          <w:szCs w:val="16"/>
        </w:rPr>
        <w:t xml:space="preserve"> </w:t>
      </w:r>
      <w:r w:rsidRPr="00DF0E2C">
        <w:rPr>
          <w:rFonts w:cs="Arial"/>
          <w:i/>
          <w:iCs/>
          <w:sz w:val="16"/>
          <w:szCs w:val="16"/>
        </w:rPr>
        <w:t>Australian and New Zealand Journal of Psychiatry</w:t>
      </w:r>
      <w:r>
        <w:rPr>
          <w:rFonts w:cs="Arial"/>
          <w:i/>
          <w:iCs/>
          <w:sz w:val="16"/>
          <w:szCs w:val="16"/>
        </w:rPr>
        <w:t>.</w:t>
      </w:r>
      <w:r w:rsidRPr="00FE30A3">
        <w:rPr>
          <w:rFonts w:cs="Arial"/>
          <w:sz w:val="16"/>
          <w:szCs w:val="16"/>
        </w:rPr>
        <w:t xml:space="preserve"> 48(7)</w:t>
      </w:r>
      <w:r>
        <w:rPr>
          <w:rFonts w:cs="Arial"/>
          <w:sz w:val="16"/>
          <w:szCs w:val="16"/>
        </w:rPr>
        <w:t>:</w:t>
      </w:r>
      <w:r w:rsidRPr="00FE30A3">
        <w:rPr>
          <w:rFonts w:cs="Arial"/>
          <w:sz w:val="16"/>
          <w:szCs w:val="16"/>
        </w:rPr>
        <w:t>606-616</w:t>
      </w:r>
    </w:p>
  </w:footnote>
  <w:footnote w:id="63">
    <w:p w14:paraId="7351FCC1" w14:textId="392B86B2" w:rsidR="00B208C1" w:rsidRPr="00FE30A3" w:rsidRDefault="00B208C1" w:rsidP="00244F71">
      <w:pPr>
        <w:pStyle w:val="FootnoteText"/>
        <w:tabs>
          <w:tab w:val="left" w:pos="255"/>
        </w:tabs>
        <w:spacing w:after="40"/>
        <w:ind w:left="255" w:hanging="255"/>
        <w:jc w:val="both"/>
        <w:rPr>
          <w:rFonts w:cs="Arial"/>
          <w:sz w:val="16"/>
          <w:szCs w:val="16"/>
        </w:rPr>
      </w:pPr>
      <w:r w:rsidRPr="00530AC7">
        <w:rPr>
          <w:rStyle w:val="FootnoteReference"/>
          <w:rFonts w:cs="Arial"/>
          <w:sz w:val="18"/>
          <w:szCs w:val="18"/>
        </w:rPr>
        <w:footnoteRef/>
      </w:r>
      <w:r w:rsidRPr="00FE30A3">
        <w:rPr>
          <w:rFonts w:cs="Arial"/>
          <w:sz w:val="16"/>
          <w:szCs w:val="16"/>
        </w:rPr>
        <w:t xml:space="preserve"> </w:t>
      </w:r>
      <w:r>
        <w:rPr>
          <w:rFonts w:cs="Arial"/>
          <w:sz w:val="16"/>
          <w:szCs w:val="16"/>
        </w:rPr>
        <w:tab/>
      </w:r>
      <w:r w:rsidRPr="00FE30A3">
        <w:rPr>
          <w:rFonts w:cs="Arial"/>
          <w:sz w:val="16"/>
          <w:szCs w:val="16"/>
        </w:rPr>
        <w:t xml:space="preserve">AIHW (2018) </w:t>
      </w:r>
      <w:r w:rsidRPr="00530AC7">
        <w:rPr>
          <w:rFonts w:eastAsia="Calibri" w:cs="Arial"/>
          <w:sz w:val="16"/>
          <w:szCs w:val="16"/>
        </w:rPr>
        <w:t>Australia's health 2018: in brief</w:t>
      </w:r>
      <w:r>
        <w:rPr>
          <w:rFonts w:eastAsia="Calibri" w:cs="Arial"/>
          <w:sz w:val="16"/>
          <w:szCs w:val="16"/>
        </w:rPr>
        <w:t>.</w:t>
      </w:r>
      <w:r w:rsidRPr="00FE30A3">
        <w:rPr>
          <w:rFonts w:eastAsia="Calibri" w:cs="Arial"/>
          <w:sz w:val="16"/>
          <w:szCs w:val="16"/>
        </w:rPr>
        <w:t xml:space="preserve"> Australian Institute of Health and Welfare, Canberra.</w:t>
      </w:r>
      <w:r>
        <w:rPr>
          <w:rFonts w:eastAsia="Calibri" w:cs="Arial"/>
          <w:sz w:val="16"/>
          <w:szCs w:val="16"/>
        </w:rPr>
        <w:t xml:space="preserve"> Available from: </w:t>
      </w:r>
      <w:hyperlink r:id="rId53" w:history="1">
        <w:r w:rsidRPr="00530AC7">
          <w:rPr>
            <w:rStyle w:val="Hyperlink"/>
            <w:rFonts w:eastAsia="Calibri" w:cs="Arial"/>
            <w:sz w:val="16"/>
            <w:szCs w:val="16"/>
          </w:rPr>
          <w:t>URL</w:t>
        </w:r>
      </w:hyperlink>
    </w:p>
  </w:footnote>
  <w:footnote w:id="64">
    <w:p w14:paraId="2B5A6AD5" w14:textId="7A84EA62" w:rsidR="00B208C1" w:rsidRPr="00FE30A3" w:rsidRDefault="00B208C1" w:rsidP="00244F71">
      <w:pPr>
        <w:pStyle w:val="FootnoteText"/>
        <w:tabs>
          <w:tab w:val="left" w:pos="255"/>
          <w:tab w:val="left" w:pos="288"/>
        </w:tabs>
        <w:spacing w:after="40"/>
        <w:ind w:left="255" w:hanging="255"/>
        <w:jc w:val="both"/>
        <w:rPr>
          <w:rFonts w:cs="Arial"/>
          <w:sz w:val="16"/>
          <w:szCs w:val="16"/>
          <w:lang w:val="en-US"/>
        </w:rPr>
      </w:pPr>
      <w:r w:rsidRPr="00530AC7">
        <w:rPr>
          <w:rStyle w:val="FootnoteReference"/>
          <w:rFonts w:cs="Arial"/>
          <w:sz w:val="18"/>
          <w:szCs w:val="18"/>
        </w:rPr>
        <w:footnoteRef/>
      </w:r>
      <w:r w:rsidRPr="00FE30A3">
        <w:rPr>
          <w:rFonts w:cs="Arial"/>
          <w:sz w:val="16"/>
          <w:szCs w:val="16"/>
        </w:rPr>
        <w:t xml:space="preserve"> </w:t>
      </w:r>
      <w:r>
        <w:rPr>
          <w:rFonts w:cs="Arial"/>
          <w:sz w:val="16"/>
          <w:szCs w:val="16"/>
        </w:rPr>
        <w:tab/>
      </w:r>
      <w:r w:rsidRPr="00FE30A3">
        <w:rPr>
          <w:rFonts w:cs="Arial"/>
          <w:sz w:val="16"/>
          <w:szCs w:val="16"/>
        </w:rPr>
        <w:fldChar w:fldCharType="begin"/>
      </w:r>
      <w:r w:rsidRPr="00FE30A3">
        <w:rPr>
          <w:rFonts w:cs="Arial"/>
          <w:sz w:val="16"/>
          <w:szCs w:val="16"/>
        </w:rPr>
        <w:instrText xml:space="preserve"> ADDIN EN.CITE &lt;EndNote&gt;&lt;Cite&gt;&lt;Author&gt;Mishra&lt;/Author&gt;&lt;Year&gt;2014&lt;/Year&gt;&lt;RecNum&gt;761&lt;/RecNum&gt;&lt;DisplayText&gt;Mishra, Loxton, Anderson and et al. (2014) Health and wellbeing of women aged 18 to 23 in 2013 and 1996 : findings from the Australian Longitudinal Study on Women’s Health&lt;/DisplayText&gt;&lt;record&gt;&lt;rec-number&gt;761&lt;/rec-number&gt;&lt;foreign-keys&gt;&lt;key app="EN" db-id="ssa09sw2ttazvjex2225xtt350ewfx2vadfs"&gt;761&lt;/key&gt;&lt;/foreign-keys&gt;&lt;ref-type name="Book"&gt;6&lt;/ref-type&gt;&lt;contributors&gt;&lt;authors&gt;&lt;author&gt;Mishra, Gita&lt;/author&gt;&lt;author&gt;Loxton, Deborah&lt;/author&gt;&lt;author&gt;Anderson, Amy&lt;/author&gt;&lt;author&gt;et al.,&lt;/author&gt;&lt;/authors&gt;&lt;/contributors&gt;&lt;titles&gt;&lt;title&gt;Health and wellbeing of women aged 18 to 23 in 2013 and 1996 : findings from the Australian Longitudinal Study on Women’s Health&lt;/title&gt;&lt;/titles&gt;&lt;dates&gt;&lt;year&gt;2014&lt;/year&gt;&lt;/dates&gt;&lt;pub-location&gt;Newcastle, N.S.W.&lt;/pub-location&gt;&lt;publisher&gt;Australian Longitudinal Study on Women&amp;apos;s Health (ALSWH)&lt;/publisher&gt;&lt;urls&gt;&lt;related-urls&gt;&lt;url&gt;http://www.alswh.org.au/images/content/pdf/major_reports/2014Major_Report%20I_FINAL.pdf&lt;/url&gt;&lt;/related-urls&gt;&lt;/urls&gt;&lt;/record&gt;&lt;/Cite&gt;&lt;/EndNote&gt;</w:instrText>
      </w:r>
      <w:r w:rsidRPr="00FE30A3">
        <w:rPr>
          <w:rFonts w:cs="Arial"/>
          <w:sz w:val="16"/>
          <w:szCs w:val="16"/>
        </w:rPr>
        <w:fldChar w:fldCharType="separate"/>
      </w:r>
      <w:r w:rsidRPr="00FE30A3">
        <w:rPr>
          <w:rFonts w:cs="Arial"/>
          <w:noProof/>
          <w:sz w:val="16"/>
          <w:szCs w:val="16"/>
        </w:rPr>
        <w:t>Mishra</w:t>
      </w:r>
      <w:r>
        <w:rPr>
          <w:rFonts w:cs="Arial"/>
          <w:noProof/>
          <w:sz w:val="16"/>
          <w:szCs w:val="16"/>
        </w:rPr>
        <w:t xml:space="preserve"> G</w:t>
      </w:r>
      <w:r w:rsidRPr="00FE30A3">
        <w:rPr>
          <w:rFonts w:cs="Arial"/>
          <w:noProof/>
          <w:sz w:val="16"/>
          <w:szCs w:val="16"/>
        </w:rPr>
        <w:t>, Loxton</w:t>
      </w:r>
      <w:r>
        <w:rPr>
          <w:rFonts w:cs="Arial"/>
          <w:noProof/>
          <w:sz w:val="16"/>
          <w:szCs w:val="16"/>
        </w:rPr>
        <w:t xml:space="preserve"> D</w:t>
      </w:r>
      <w:r w:rsidRPr="00FE30A3">
        <w:rPr>
          <w:rFonts w:cs="Arial"/>
          <w:noProof/>
          <w:sz w:val="16"/>
          <w:szCs w:val="16"/>
        </w:rPr>
        <w:t>, Anderson</w:t>
      </w:r>
      <w:r>
        <w:rPr>
          <w:rFonts w:cs="Arial"/>
          <w:noProof/>
          <w:sz w:val="16"/>
          <w:szCs w:val="16"/>
        </w:rPr>
        <w:t xml:space="preserve"> A, Hockey R, Powers J, Brown W, </w:t>
      </w:r>
      <w:r w:rsidRPr="00FE30A3">
        <w:rPr>
          <w:rFonts w:cs="Arial"/>
          <w:noProof/>
          <w:sz w:val="16"/>
          <w:szCs w:val="16"/>
        </w:rPr>
        <w:t>et al. (2014) Health and wellbeing of women aged 18 to 23 in 2013 and 1996: findings from the Australian Longitudinal Study on Women’s Health</w:t>
      </w:r>
      <w:r w:rsidRPr="00FE30A3">
        <w:rPr>
          <w:rFonts w:cs="Arial"/>
          <w:sz w:val="16"/>
          <w:szCs w:val="16"/>
        </w:rPr>
        <w:fldChar w:fldCharType="end"/>
      </w:r>
      <w:r>
        <w:rPr>
          <w:rFonts w:cs="Arial"/>
          <w:sz w:val="16"/>
          <w:szCs w:val="16"/>
        </w:rPr>
        <w:t>. Women’s Health Australia. Newcastle, NSW</w:t>
      </w:r>
      <w:r w:rsidRPr="00FE30A3">
        <w:rPr>
          <w:rFonts w:cs="Arial"/>
          <w:sz w:val="16"/>
          <w:szCs w:val="16"/>
        </w:rPr>
        <w:t xml:space="preserve">, p. 110. Available from: </w:t>
      </w:r>
      <w:hyperlink r:id="rId54" w:history="1">
        <w:r w:rsidRPr="00FE30A3">
          <w:rPr>
            <w:rStyle w:val="Hyperlink"/>
            <w:rFonts w:cs="Arial"/>
            <w:sz w:val="16"/>
            <w:szCs w:val="16"/>
          </w:rPr>
          <w:t>URL</w:t>
        </w:r>
      </w:hyperlink>
    </w:p>
  </w:footnote>
  <w:footnote w:id="65">
    <w:p w14:paraId="46C12473" w14:textId="0BBC3044" w:rsidR="00B208C1" w:rsidRPr="00FE30A3" w:rsidRDefault="00B208C1" w:rsidP="00244F71">
      <w:pPr>
        <w:pStyle w:val="FootnoteText"/>
        <w:tabs>
          <w:tab w:val="left" w:pos="255"/>
        </w:tabs>
        <w:spacing w:after="40"/>
        <w:ind w:left="255" w:hanging="255"/>
        <w:jc w:val="both"/>
        <w:rPr>
          <w:rFonts w:cs="Arial"/>
          <w:sz w:val="16"/>
          <w:szCs w:val="16"/>
        </w:rPr>
      </w:pPr>
      <w:r w:rsidRPr="00530AC7">
        <w:rPr>
          <w:rStyle w:val="FootnoteReference"/>
          <w:rFonts w:cs="Arial"/>
          <w:sz w:val="18"/>
          <w:szCs w:val="18"/>
        </w:rPr>
        <w:footnoteRef/>
      </w:r>
      <w:r w:rsidRPr="00FE30A3">
        <w:rPr>
          <w:rFonts w:cs="Arial"/>
          <w:sz w:val="16"/>
          <w:szCs w:val="16"/>
        </w:rPr>
        <w:t xml:space="preserve"> </w:t>
      </w:r>
      <w:r>
        <w:rPr>
          <w:rFonts w:cs="Arial"/>
          <w:sz w:val="16"/>
          <w:szCs w:val="16"/>
        </w:rPr>
        <w:tab/>
        <w:t xml:space="preserve">ABS </w:t>
      </w:r>
      <w:r w:rsidRPr="00FE30A3">
        <w:rPr>
          <w:rFonts w:cs="Arial"/>
          <w:sz w:val="16"/>
          <w:szCs w:val="16"/>
        </w:rPr>
        <w:t xml:space="preserve">(2015) Mental and behavioural conditions: anxiety-related conditions </w:t>
      </w:r>
      <w:r w:rsidRPr="00FE30A3">
        <w:rPr>
          <w:rFonts w:cs="Arial"/>
          <w:i/>
          <w:iCs/>
          <w:sz w:val="16"/>
          <w:szCs w:val="16"/>
          <w:u w:val="single"/>
        </w:rPr>
        <w:t>In:</w:t>
      </w:r>
      <w:r w:rsidRPr="00FE30A3">
        <w:rPr>
          <w:rFonts w:cs="Arial"/>
          <w:sz w:val="16"/>
          <w:szCs w:val="16"/>
        </w:rPr>
        <w:t xml:space="preserve"> 4364.0.55.001: National Health Survey: first results</w:t>
      </w:r>
      <w:r>
        <w:rPr>
          <w:rFonts w:cs="Arial"/>
          <w:sz w:val="16"/>
          <w:szCs w:val="16"/>
        </w:rPr>
        <w:t xml:space="preserve"> 2014-15. </w:t>
      </w:r>
      <w:r w:rsidRPr="00FE30A3">
        <w:rPr>
          <w:rFonts w:cs="Arial"/>
          <w:sz w:val="16"/>
          <w:szCs w:val="16"/>
        </w:rPr>
        <w:t>Australian Bureau of Statistics,</w:t>
      </w:r>
      <w:r>
        <w:rPr>
          <w:rFonts w:cs="Arial"/>
          <w:sz w:val="16"/>
          <w:szCs w:val="16"/>
        </w:rPr>
        <w:t xml:space="preserve"> Canberra. Available from: </w:t>
      </w:r>
      <w:hyperlink r:id="rId55" w:history="1">
        <w:r w:rsidRPr="00FE30A3">
          <w:rPr>
            <w:rStyle w:val="Hyperlink"/>
            <w:rFonts w:cs="Arial"/>
            <w:sz w:val="16"/>
            <w:szCs w:val="16"/>
          </w:rPr>
          <w:t>URL</w:t>
        </w:r>
      </w:hyperlink>
    </w:p>
  </w:footnote>
  <w:footnote w:id="66">
    <w:p w14:paraId="28866237" w14:textId="77777777" w:rsidR="00B208C1" w:rsidRPr="00FE30A3" w:rsidRDefault="00B208C1" w:rsidP="00D15459">
      <w:pPr>
        <w:pStyle w:val="FootnoteText"/>
        <w:tabs>
          <w:tab w:val="left" w:pos="255"/>
        </w:tabs>
        <w:spacing w:after="40"/>
        <w:ind w:left="255" w:hanging="255"/>
        <w:jc w:val="both"/>
        <w:rPr>
          <w:rFonts w:cs="Arial"/>
          <w:sz w:val="16"/>
          <w:szCs w:val="16"/>
        </w:rPr>
      </w:pPr>
      <w:r w:rsidRPr="00530AC7">
        <w:rPr>
          <w:rStyle w:val="FootnoteReference"/>
          <w:rFonts w:cs="Arial"/>
          <w:sz w:val="18"/>
          <w:szCs w:val="18"/>
        </w:rPr>
        <w:footnoteRef/>
      </w:r>
      <w:r w:rsidRPr="00FE30A3">
        <w:rPr>
          <w:rFonts w:cs="Arial"/>
          <w:sz w:val="16"/>
          <w:szCs w:val="16"/>
        </w:rPr>
        <w:t xml:space="preserve"> </w:t>
      </w:r>
      <w:r>
        <w:rPr>
          <w:rFonts w:cs="Arial"/>
          <w:sz w:val="16"/>
          <w:szCs w:val="16"/>
        </w:rPr>
        <w:tab/>
      </w:r>
      <w:r w:rsidRPr="00FE30A3">
        <w:rPr>
          <w:rFonts w:cs="Arial"/>
          <w:sz w:val="16"/>
          <w:szCs w:val="16"/>
        </w:rPr>
        <w:t>ABS (2015)</w:t>
      </w:r>
      <w:r>
        <w:rPr>
          <w:rFonts w:cs="Arial"/>
          <w:sz w:val="16"/>
          <w:szCs w:val="16"/>
        </w:rPr>
        <w:t xml:space="preserve"> </w:t>
      </w:r>
      <w:r w:rsidRPr="00FE30A3">
        <w:rPr>
          <w:rFonts w:cs="Arial"/>
          <w:sz w:val="16"/>
          <w:szCs w:val="16"/>
          <w:shd w:val="clear" w:color="auto" w:fill="FFFFFF"/>
        </w:rPr>
        <w:t>Table 3</w:t>
      </w:r>
      <w:r>
        <w:rPr>
          <w:rFonts w:cs="Arial"/>
          <w:sz w:val="16"/>
          <w:szCs w:val="16"/>
          <w:shd w:val="clear" w:color="auto" w:fill="FFFFFF"/>
        </w:rPr>
        <w:t xml:space="preserve">: </w:t>
      </w:r>
      <w:r w:rsidRPr="00FE30A3">
        <w:rPr>
          <w:rFonts w:cs="Arial"/>
          <w:sz w:val="16"/>
          <w:szCs w:val="16"/>
          <w:shd w:val="clear" w:color="auto" w:fill="FFFFFF"/>
        </w:rPr>
        <w:t>Long-term health conditions Australia</w:t>
      </w:r>
      <w:r>
        <w:rPr>
          <w:rFonts w:cs="Arial"/>
          <w:sz w:val="16"/>
          <w:szCs w:val="16"/>
          <w:shd w:val="clear" w:color="auto" w:fill="FFFFFF"/>
        </w:rPr>
        <w:t xml:space="preserve"> </w:t>
      </w:r>
      <w:r w:rsidRPr="00FE30A3">
        <w:rPr>
          <w:rFonts w:cs="Arial"/>
          <w:sz w:val="16"/>
          <w:szCs w:val="16"/>
          <w:shd w:val="clear" w:color="auto" w:fill="FFFFFF"/>
        </w:rPr>
        <w:t>[</w:t>
      </w:r>
      <w:r>
        <w:rPr>
          <w:rFonts w:cs="Arial"/>
          <w:sz w:val="16"/>
          <w:szCs w:val="16"/>
          <w:shd w:val="clear" w:color="auto" w:fill="FFFFFF"/>
        </w:rPr>
        <w:t>D</w:t>
      </w:r>
      <w:r w:rsidRPr="00FE30A3">
        <w:rPr>
          <w:rFonts w:cs="Arial"/>
          <w:sz w:val="16"/>
          <w:szCs w:val="16"/>
          <w:shd w:val="clear" w:color="auto" w:fill="FFFFFF"/>
        </w:rPr>
        <w:t>ata cube]</w:t>
      </w:r>
      <w:r>
        <w:rPr>
          <w:rFonts w:cs="Arial"/>
          <w:sz w:val="16"/>
          <w:szCs w:val="16"/>
          <w:shd w:val="clear" w:color="auto" w:fill="FFFFFF"/>
        </w:rPr>
        <w:t xml:space="preserve"> </w:t>
      </w:r>
      <w:r w:rsidRPr="00FE30A3">
        <w:rPr>
          <w:rFonts w:cs="Arial"/>
          <w:i/>
          <w:iCs/>
          <w:sz w:val="16"/>
          <w:szCs w:val="16"/>
          <w:u w:val="single"/>
          <w:shd w:val="clear" w:color="auto" w:fill="FFFFFF"/>
        </w:rPr>
        <w:t>In:</w:t>
      </w:r>
      <w:r w:rsidRPr="00FE30A3">
        <w:rPr>
          <w:rFonts w:cs="Arial"/>
          <w:sz w:val="16"/>
          <w:szCs w:val="16"/>
        </w:rPr>
        <w:t xml:space="preserve"> </w:t>
      </w:r>
      <w:r w:rsidRPr="00FE30A3">
        <w:rPr>
          <w:rFonts w:cs="Arial"/>
          <w:color w:val="333333"/>
          <w:sz w:val="16"/>
          <w:szCs w:val="16"/>
          <w:shd w:val="clear" w:color="auto" w:fill="FFFFFF"/>
        </w:rPr>
        <w:t>National Health Survey:</w:t>
      </w:r>
      <w:r>
        <w:rPr>
          <w:rFonts w:cs="Arial"/>
          <w:color w:val="333333"/>
          <w:sz w:val="16"/>
          <w:szCs w:val="16"/>
          <w:shd w:val="clear" w:color="auto" w:fill="FFFFFF"/>
        </w:rPr>
        <w:t xml:space="preserve"> f</w:t>
      </w:r>
      <w:r w:rsidRPr="00FE30A3">
        <w:rPr>
          <w:rFonts w:cs="Arial"/>
          <w:color w:val="333333"/>
          <w:sz w:val="16"/>
          <w:szCs w:val="16"/>
          <w:shd w:val="clear" w:color="auto" w:fill="FFFFFF"/>
        </w:rPr>
        <w:t>irst results</w:t>
      </w:r>
      <w:r>
        <w:rPr>
          <w:rFonts w:cs="Arial"/>
          <w:color w:val="333333"/>
          <w:sz w:val="16"/>
          <w:szCs w:val="16"/>
          <w:shd w:val="clear" w:color="auto" w:fill="FFFFFF"/>
        </w:rPr>
        <w:t xml:space="preserve"> </w:t>
      </w:r>
      <w:r w:rsidRPr="00FE30A3">
        <w:rPr>
          <w:rFonts w:cs="Arial"/>
          <w:color w:val="333333"/>
          <w:sz w:val="16"/>
          <w:szCs w:val="16"/>
          <w:shd w:val="clear" w:color="auto" w:fill="FFFFFF"/>
        </w:rPr>
        <w:t>2014-15</w:t>
      </w:r>
      <w:r>
        <w:rPr>
          <w:rFonts w:cs="Arial"/>
          <w:color w:val="333333"/>
          <w:sz w:val="16"/>
          <w:szCs w:val="16"/>
          <w:shd w:val="clear" w:color="auto" w:fill="FFFFFF"/>
        </w:rPr>
        <w:t>.</w:t>
      </w:r>
      <w:r w:rsidRPr="00FE30A3">
        <w:rPr>
          <w:rFonts w:cs="Arial"/>
          <w:color w:val="333333"/>
          <w:sz w:val="16"/>
          <w:szCs w:val="16"/>
          <w:shd w:val="clear" w:color="auto" w:fill="FFFFFF"/>
        </w:rPr>
        <w:t xml:space="preserve"> Australian Bureau of Statistics, Canberra</w:t>
      </w:r>
      <w:r>
        <w:rPr>
          <w:rFonts w:cs="Arial"/>
          <w:color w:val="333333"/>
          <w:sz w:val="16"/>
          <w:szCs w:val="16"/>
          <w:shd w:val="clear" w:color="auto" w:fill="FFFFFF"/>
        </w:rPr>
        <w:t xml:space="preserve">. Available from: </w:t>
      </w:r>
      <w:hyperlink r:id="rId56" w:history="1">
        <w:r w:rsidRPr="00FE30A3">
          <w:rPr>
            <w:rStyle w:val="Hyperlink"/>
            <w:rFonts w:cs="Arial"/>
            <w:sz w:val="16"/>
            <w:szCs w:val="16"/>
            <w:shd w:val="clear" w:color="auto" w:fill="FFFFFF"/>
          </w:rPr>
          <w:t>URL</w:t>
        </w:r>
      </w:hyperlink>
    </w:p>
  </w:footnote>
  <w:footnote w:id="67">
    <w:p w14:paraId="106E01B0" w14:textId="0A48C62A" w:rsidR="00B208C1" w:rsidRPr="00644EFF" w:rsidRDefault="00B208C1" w:rsidP="00244F71">
      <w:pPr>
        <w:pStyle w:val="FootnoteText"/>
        <w:tabs>
          <w:tab w:val="left" w:pos="255"/>
        </w:tabs>
        <w:spacing w:after="40"/>
        <w:ind w:left="255" w:hanging="255"/>
        <w:jc w:val="both"/>
        <w:rPr>
          <w:rFonts w:cs="Arial"/>
          <w:sz w:val="16"/>
          <w:szCs w:val="16"/>
        </w:rPr>
      </w:pPr>
      <w:r w:rsidRPr="00E55D6D">
        <w:rPr>
          <w:rStyle w:val="FootnoteReference"/>
          <w:rFonts w:cs="Arial"/>
          <w:sz w:val="18"/>
          <w:szCs w:val="18"/>
        </w:rPr>
        <w:footnoteRef/>
      </w:r>
      <w:r w:rsidRPr="00644EFF">
        <w:rPr>
          <w:rFonts w:cs="Arial"/>
          <w:sz w:val="16"/>
          <w:szCs w:val="16"/>
        </w:rPr>
        <w:t xml:space="preserve"> </w:t>
      </w:r>
      <w:r>
        <w:rPr>
          <w:rFonts w:cs="Arial"/>
          <w:sz w:val="16"/>
          <w:szCs w:val="16"/>
        </w:rPr>
        <w:tab/>
      </w:r>
      <w:r w:rsidRPr="00644EFF">
        <w:rPr>
          <w:rFonts w:cs="Arial"/>
          <w:sz w:val="16"/>
          <w:szCs w:val="16"/>
        </w:rPr>
        <w:t>Wilkins</w:t>
      </w:r>
      <w:r>
        <w:rPr>
          <w:rFonts w:cs="Arial"/>
          <w:sz w:val="16"/>
          <w:szCs w:val="16"/>
        </w:rPr>
        <w:t xml:space="preserve"> R</w:t>
      </w:r>
      <w:r w:rsidRPr="00644EFF">
        <w:rPr>
          <w:rFonts w:cs="Arial"/>
          <w:sz w:val="16"/>
          <w:szCs w:val="16"/>
        </w:rPr>
        <w:t xml:space="preserve">, </w:t>
      </w:r>
      <w:proofErr w:type="spellStart"/>
      <w:r w:rsidRPr="00644EFF">
        <w:rPr>
          <w:rFonts w:cs="Arial"/>
          <w:sz w:val="16"/>
          <w:szCs w:val="16"/>
        </w:rPr>
        <w:t>Laß</w:t>
      </w:r>
      <w:proofErr w:type="spellEnd"/>
      <w:r>
        <w:rPr>
          <w:rFonts w:cs="Arial"/>
          <w:sz w:val="16"/>
          <w:szCs w:val="16"/>
        </w:rPr>
        <w:t xml:space="preserve"> L</w:t>
      </w:r>
      <w:r w:rsidRPr="00644EFF">
        <w:rPr>
          <w:rFonts w:cs="Arial"/>
          <w:sz w:val="16"/>
          <w:szCs w:val="16"/>
        </w:rPr>
        <w:t>, Butterworth</w:t>
      </w:r>
      <w:r>
        <w:rPr>
          <w:rFonts w:cs="Arial"/>
          <w:sz w:val="16"/>
          <w:szCs w:val="16"/>
        </w:rPr>
        <w:t xml:space="preserve"> P,</w:t>
      </w:r>
      <w:r w:rsidRPr="00644EFF">
        <w:rPr>
          <w:rFonts w:cs="Arial"/>
          <w:sz w:val="16"/>
          <w:szCs w:val="16"/>
        </w:rPr>
        <w:t xml:space="preserve"> Vera-Toscano</w:t>
      </w:r>
      <w:r>
        <w:rPr>
          <w:rFonts w:cs="Arial"/>
          <w:sz w:val="16"/>
          <w:szCs w:val="16"/>
        </w:rPr>
        <w:t xml:space="preserve"> E</w:t>
      </w:r>
      <w:r w:rsidRPr="00644EFF">
        <w:rPr>
          <w:rFonts w:cs="Arial"/>
          <w:sz w:val="16"/>
          <w:szCs w:val="16"/>
        </w:rPr>
        <w:t xml:space="preserve"> (2019</w:t>
      </w:r>
      <w:r w:rsidRPr="00DF1891">
        <w:rPr>
          <w:rFonts w:cs="Arial"/>
          <w:sz w:val="16"/>
          <w:szCs w:val="16"/>
        </w:rPr>
        <w:t>) The Household, Income and Labour Dynamics in Australia</w:t>
      </w:r>
      <w:r>
        <w:rPr>
          <w:rFonts w:cs="Arial"/>
          <w:sz w:val="16"/>
          <w:szCs w:val="16"/>
        </w:rPr>
        <w:t xml:space="preserve"> (HILDA)</w:t>
      </w:r>
      <w:r w:rsidRPr="00DF1891">
        <w:rPr>
          <w:rFonts w:cs="Arial"/>
          <w:sz w:val="16"/>
          <w:szCs w:val="16"/>
        </w:rPr>
        <w:t xml:space="preserve"> Survey: </w:t>
      </w:r>
      <w:r>
        <w:rPr>
          <w:rFonts w:cs="Arial"/>
          <w:sz w:val="16"/>
          <w:szCs w:val="16"/>
        </w:rPr>
        <w:t>s</w:t>
      </w:r>
      <w:r w:rsidRPr="00DF1891">
        <w:rPr>
          <w:rFonts w:cs="Arial"/>
          <w:sz w:val="16"/>
          <w:szCs w:val="16"/>
        </w:rPr>
        <w:t xml:space="preserve">elected </w:t>
      </w:r>
      <w:r>
        <w:rPr>
          <w:rFonts w:cs="Arial"/>
          <w:sz w:val="16"/>
          <w:szCs w:val="16"/>
        </w:rPr>
        <w:t>f</w:t>
      </w:r>
      <w:r w:rsidRPr="00DF1891">
        <w:rPr>
          <w:rFonts w:cs="Arial"/>
          <w:sz w:val="16"/>
          <w:szCs w:val="16"/>
        </w:rPr>
        <w:t>indings from Waves 1 to 17</w:t>
      </w:r>
      <w:r w:rsidRPr="00644EFF">
        <w:rPr>
          <w:rFonts w:cs="Arial"/>
          <w:sz w:val="16"/>
          <w:szCs w:val="16"/>
        </w:rPr>
        <w:t xml:space="preserve">. </w:t>
      </w:r>
      <w:r>
        <w:rPr>
          <w:rFonts w:cs="Arial"/>
          <w:sz w:val="16"/>
          <w:szCs w:val="16"/>
        </w:rPr>
        <w:t xml:space="preserve">University of Melbourne. </w:t>
      </w:r>
      <w:r w:rsidRPr="00644EFF">
        <w:rPr>
          <w:rFonts w:cs="Arial"/>
          <w:sz w:val="16"/>
          <w:szCs w:val="16"/>
        </w:rPr>
        <w:t>Melbourne Institute</w:t>
      </w:r>
      <w:r>
        <w:rPr>
          <w:rFonts w:cs="Arial"/>
          <w:sz w:val="16"/>
          <w:szCs w:val="16"/>
        </w:rPr>
        <w:t xml:space="preserve">, Parkville Vic. Available from: </w:t>
      </w:r>
      <w:hyperlink r:id="rId57" w:history="1">
        <w:r w:rsidRPr="00DF1891">
          <w:rPr>
            <w:rStyle w:val="Hyperlink"/>
            <w:rFonts w:cs="Arial"/>
            <w:sz w:val="16"/>
            <w:szCs w:val="16"/>
          </w:rPr>
          <w:t>URL</w:t>
        </w:r>
      </w:hyperlink>
    </w:p>
  </w:footnote>
  <w:footnote w:id="68">
    <w:p w14:paraId="67438025" w14:textId="75B985F9" w:rsidR="00B208C1" w:rsidRPr="00644EFF" w:rsidRDefault="00B208C1" w:rsidP="00244F71">
      <w:pPr>
        <w:pStyle w:val="FootnoteText"/>
        <w:tabs>
          <w:tab w:val="left" w:pos="255"/>
          <w:tab w:val="left" w:pos="288"/>
          <w:tab w:val="left" w:pos="357"/>
        </w:tabs>
        <w:spacing w:after="40"/>
        <w:ind w:left="255" w:hanging="255"/>
        <w:jc w:val="both"/>
        <w:rPr>
          <w:rFonts w:cs="Arial"/>
          <w:sz w:val="16"/>
          <w:szCs w:val="16"/>
        </w:rPr>
      </w:pPr>
      <w:r w:rsidRPr="00E55D6D">
        <w:rPr>
          <w:rStyle w:val="FootnoteReference"/>
          <w:rFonts w:cs="Arial"/>
          <w:sz w:val="18"/>
          <w:szCs w:val="18"/>
        </w:rPr>
        <w:footnoteRef/>
      </w:r>
      <w:r w:rsidRPr="00644EFF">
        <w:rPr>
          <w:rFonts w:cs="Arial"/>
          <w:sz w:val="16"/>
          <w:szCs w:val="16"/>
        </w:rPr>
        <w:t xml:space="preserve"> </w:t>
      </w:r>
      <w:r>
        <w:rPr>
          <w:rFonts w:cs="Arial"/>
          <w:sz w:val="16"/>
          <w:szCs w:val="16"/>
        </w:rPr>
        <w:tab/>
      </w:r>
      <w:r w:rsidRPr="00644EFF">
        <w:rPr>
          <w:rFonts w:cs="Arial"/>
          <w:sz w:val="16"/>
          <w:szCs w:val="16"/>
        </w:rPr>
        <w:fldChar w:fldCharType="begin"/>
      </w:r>
      <w:r w:rsidRPr="00644EFF">
        <w:rPr>
          <w:rFonts w:cs="Arial"/>
          <w:sz w:val="16"/>
          <w:szCs w:val="16"/>
        </w:rPr>
        <w:instrText xml:space="preserve"> ADDIN EN.CITE &lt;EndNote&gt;&lt;Cite&gt;&lt;Author&gt;Black&lt;/Author&gt;&lt;RecNum&gt;762&lt;/RecNum&gt;&lt;DisplayText&gt;Black, Roberts and Li-Leng  Depression in rural adolescents : relationships with gender and availability of mental health services. &lt;style face="italic"&gt;Rural and Remote Health&lt;/style&gt;. 12 (2092):1-11&lt;/DisplayText&gt;&lt;record&gt;&lt;rec-number&gt;762&lt;/rec-number&gt;&lt;foreign-keys&gt;&lt;key app="EN" db-id="ssa09sw2ttazvjex2225xtt350ewfx2vadfs"&gt;762&lt;/key&gt;&lt;/foreign-keys&gt;&lt;ref-type name="Journal Article"&gt;17&lt;/ref-type&gt;&lt;contributors&gt;&lt;authors&gt;&lt;author&gt;Black, G&lt;/author&gt;&lt;author&gt;Roberts, R M &lt;/author&gt;&lt;author&gt;Li-Leng, T &lt;/author&gt;&lt;/authors&gt;&lt;/contributors&gt;&lt;titles&gt;&lt;title&gt;Depression in rural adolescents : relationships with gender and availability of mental health services&lt;/title&gt;&lt;secondary-title&gt;Rural and Remote Health&lt;/secondary-title&gt;&lt;/titles&gt;&lt;periodical&gt;&lt;full-title&gt;Rural and Remote Health&lt;/full-title&gt;&lt;/periodical&gt;&lt;pages&gt;1-11&lt;/pages&gt;&lt;volume&gt;12&lt;/volume&gt;&lt;number&gt;2092&lt;/number&gt;&lt;dates&gt;&lt;/dates&gt;&lt;urls&gt;&lt;related-urls&gt;&lt;url&gt;http://www.rrh.org.au/publishedarticles/article_print_2092.pdf&lt;/url&gt;&lt;/related-urls&gt;&lt;/urls&gt;&lt;/record&gt;&lt;/Cite&gt;&lt;/EndNote&gt;</w:instrText>
      </w:r>
      <w:r w:rsidRPr="00644EFF">
        <w:rPr>
          <w:rFonts w:cs="Arial"/>
          <w:sz w:val="16"/>
          <w:szCs w:val="16"/>
        </w:rPr>
        <w:fldChar w:fldCharType="separate"/>
      </w:r>
      <w:r w:rsidRPr="00644EFF">
        <w:rPr>
          <w:rFonts w:cs="Arial"/>
          <w:noProof/>
          <w:sz w:val="16"/>
          <w:szCs w:val="16"/>
        </w:rPr>
        <w:t>Black</w:t>
      </w:r>
      <w:r>
        <w:rPr>
          <w:rFonts w:cs="Arial"/>
          <w:noProof/>
          <w:sz w:val="16"/>
          <w:szCs w:val="16"/>
        </w:rPr>
        <w:t xml:space="preserve"> G</w:t>
      </w:r>
      <w:r w:rsidRPr="00644EFF">
        <w:rPr>
          <w:rFonts w:cs="Arial"/>
          <w:noProof/>
          <w:sz w:val="16"/>
          <w:szCs w:val="16"/>
        </w:rPr>
        <w:t>, Roberts</w:t>
      </w:r>
      <w:r>
        <w:rPr>
          <w:rFonts w:cs="Arial"/>
          <w:noProof/>
          <w:sz w:val="16"/>
          <w:szCs w:val="16"/>
        </w:rPr>
        <w:t xml:space="preserve"> RM, </w:t>
      </w:r>
      <w:r w:rsidRPr="00644EFF">
        <w:rPr>
          <w:rFonts w:cs="Arial"/>
          <w:noProof/>
          <w:sz w:val="16"/>
          <w:szCs w:val="16"/>
        </w:rPr>
        <w:t>Li-Leng</w:t>
      </w:r>
      <w:r>
        <w:rPr>
          <w:rFonts w:cs="Arial"/>
          <w:noProof/>
          <w:sz w:val="16"/>
          <w:szCs w:val="16"/>
        </w:rPr>
        <w:t xml:space="preserve"> T (2012)</w:t>
      </w:r>
      <w:r w:rsidRPr="00644EFF">
        <w:rPr>
          <w:rFonts w:cs="Arial"/>
          <w:noProof/>
          <w:sz w:val="16"/>
          <w:szCs w:val="16"/>
        </w:rPr>
        <w:t xml:space="preserve"> Depression in rural adolescents: relationships with gender and availability of mental health services. </w:t>
      </w:r>
      <w:r w:rsidRPr="00644EFF">
        <w:rPr>
          <w:rFonts w:cs="Arial"/>
          <w:i/>
          <w:noProof/>
          <w:sz w:val="16"/>
          <w:szCs w:val="16"/>
        </w:rPr>
        <w:t>Rural and Remote Health</w:t>
      </w:r>
      <w:r w:rsidRPr="00644EFF">
        <w:rPr>
          <w:rFonts w:cs="Arial"/>
          <w:noProof/>
          <w:sz w:val="16"/>
          <w:szCs w:val="16"/>
        </w:rPr>
        <w:t>. 12(2092):1-11</w:t>
      </w:r>
      <w:r w:rsidRPr="00644EFF">
        <w:rPr>
          <w:rFonts w:cs="Arial"/>
          <w:sz w:val="16"/>
          <w:szCs w:val="16"/>
        </w:rPr>
        <w:fldChar w:fldCharType="end"/>
      </w:r>
      <w:r w:rsidRPr="00644EFF">
        <w:rPr>
          <w:rFonts w:cs="Arial"/>
          <w:sz w:val="16"/>
          <w:szCs w:val="16"/>
        </w:rPr>
        <w:t xml:space="preserve">, p. 7. Available from: </w:t>
      </w:r>
      <w:hyperlink r:id="rId58" w:history="1">
        <w:r>
          <w:rPr>
            <w:rStyle w:val="Hyperlink"/>
            <w:rFonts w:cs="Arial"/>
            <w:sz w:val="16"/>
            <w:szCs w:val="16"/>
          </w:rPr>
          <w:t>URL</w:t>
        </w:r>
      </w:hyperlink>
    </w:p>
  </w:footnote>
  <w:footnote w:id="69">
    <w:p w14:paraId="23980906" w14:textId="309482FC" w:rsidR="00B208C1" w:rsidRPr="00644EFF" w:rsidRDefault="00B208C1" w:rsidP="00244F71">
      <w:pPr>
        <w:pStyle w:val="FootnoteText"/>
        <w:tabs>
          <w:tab w:val="left" w:pos="255"/>
          <w:tab w:val="left" w:pos="288"/>
          <w:tab w:val="left" w:pos="357"/>
        </w:tabs>
        <w:spacing w:after="40"/>
        <w:ind w:left="255" w:hanging="255"/>
        <w:jc w:val="both"/>
        <w:rPr>
          <w:rFonts w:cs="Arial"/>
          <w:sz w:val="16"/>
          <w:szCs w:val="16"/>
        </w:rPr>
      </w:pPr>
      <w:r w:rsidRPr="00E55D6D">
        <w:rPr>
          <w:rStyle w:val="FootnoteReference"/>
          <w:rFonts w:cs="Arial"/>
          <w:sz w:val="18"/>
          <w:szCs w:val="18"/>
        </w:rPr>
        <w:footnoteRef/>
      </w:r>
      <w:r w:rsidRPr="00E55D6D">
        <w:rPr>
          <w:rFonts w:cs="Arial"/>
          <w:sz w:val="18"/>
          <w:szCs w:val="18"/>
        </w:rPr>
        <w:t xml:space="preserve"> </w:t>
      </w:r>
      <w:r>
        <w:rPr>
          <w:rFonts w:cs="Arial"/>
          <w:sz w:val="16"/>
          <w:szCs w:val="16"/>
        </w:rPr>
        <w:tab/>
        <w:t>ibid</w:t>
      </w:r>
      <w:r w:rsidRPr="00644EFF">
        <w:rPr>
          <w:rFonts w:cs="Arial"/>
          <w:sz w:val="16"/>
          <w:szCs w:val="16"/>
        </w:rPr>
        <w:t xml:space="preserve">. Available from: </w:t>
      </w:r>
      <w:hyperlink r:id="rId59" w:history="1">
        <w:r>
          <w:rPr>
            <w:rStyle w:val="Hyperlink"/>
            <w:rFonts w:cs="Arial"/>
            <w:sz w:val="16"/>
            <w:szCs w:val="16"/>
          </w:rPr>
          <w:t>URL</w:t>
        </w:r>
      </w:hyperlink>
    </w:p>
  </w:footnote>
  <w:footnote w:id="70">
    <w:p w14:paraId="1A9EEF24" w14:textId="1D1A8621" w:rsidR="00B208C1" w:rsidRPr="00644EFF" w:rsidRDefault="00B208C1" w:rsidP="00244F71">
      <w:pPr>
        <w:pStyle w:val="FootnoteText"/>
        <w:tabs>
          <w:tab w:val="left" w:pos="255"/>
          <w:tab w:val="left" w:pos="288"/>
        </w:tabs>
        <w:spacing w:after="40"/>
        <w:ind w:left="255" w:hanging="255"/>
        <w:jc w:val="both"/>
        <w:rPr>
          <w:rFonts w:cs="Arial"/>
          <w:sz w:val="16"/>
          <w:szCs w:val="16"/>
        </w:rPr>
      </w:pPr>
      <w:r w:rsidRPr="00E55D6D">
        <w:rPr>
          <w:rStyle w:val="FootnoteReference"/>
          <w:rFonts w:cs="Arial"/>
          <w:sz w:val="18"/>
          <w:szCs w:val="18"/>
        </w:rPr>
        <w:footnoteRef/>
      </w:r>
      <w:r w:rsidRPr="00E55D6D">
        <w:rPr>
          <w:rFonts w:cs="Arial"/>
          <w:sz w:val="18"/>
          <w:szCs w:val="18"/>
        </w:rPr>
        <w:t xml:space="preserve"> </w:t>
      </w:r>
      <w:r>
        <w:rPr>
          <w:rFonts w:cs="Arial"/>
          <w:sz w:val="16"/>
          <w:szCs w:val="16"/>
        </w:rPr>
        <w:tab/>
      </w:r>
      <w:r w:rsidRPr="00644EFF">
        <w:rPr>
          <w:rFonts w:cs="Arial"/>
          <w:sz w:val="16"/>
          <w:szCs w:val="16"/>
        </w:rPr>
        <w:fldChar w:fldCharType="begin"/>
      </w:r>
      <w:r w:rsidRPr="00644EFF">
        <w:rPr>
          <w:rFonts w:cs="Arial"/>
          <w:sz w:val="16"/>
          <w:szCs w:val="16"/>
        </w:rPr>
        <w:instrText xml:space="preserve"> ADDIN EN.CITE &lt;EndNote&gt;&lt;Cite&gt;&lt;Author&gt;Fink&lt;/Author&gt;&lt;Year&gt;2015&lt;/Year&gt;&lt;RecNum&gt;739&lt;/RecNum&gt;&lt;DisplayText&gt;Fink, Patalay, Sharpe and et al. (2015) Mental health difficulties in early adolescence : a  comparison of two cross-sectional studies in England from 2009 to 2014. &lt;style face="italic"&gt;Journal of Adolescent Health&lt;/style&gt;. 56 (5):502-7&lt;/DisplayText&gt;&lt;record&gt;&lt;rec-number&gt;739&lt;/rec-number&gt;&lt;foreign-keys&gt;&lt;key app="EN" db-id="ssa09sw2ttazvjex2225xtt350ewfx2vadfs"&gt;739&lt;/key&gt;&lt;/foreign-keys&gt;&lt;ref-type name="Journal Article"&gt;17&lt;/ref-type&gt;&lt;contributors&gt;&lt;authors&gt;&lt;author&gt;Fink, E&lt;/author&gt;&lt;author&gt;Patalay, P&lt;/author&gt;&lt;author&gt;Sharpe, S&lt;/author&gt;&lt;author&gt;et al.,&lt;/author&gt;&lt;/authors&gt;&lt;/contributors&gt;&lt;titles&gt;&lt;title&gt;Mental health difficulties in early adolescence : a  comparison of two cross-sectional studies in England from 2009 to 2014&lt;/title&gt;&lt;secondary-title&gt;Journal of Adolescent Health&lt;/secondary-title&gt;&lt;/titles&gt;&lt;periodical&gt;&lt;full-title&gt;Journal of Adolescent Health&lt;/full-title&gt;&lt;/periodical&gt;&lt;pages&gt;502-7&lt;/pages&gt;&lt;volume&gt;56&lt;/volume&gt;&lt;number&gt;5&lt;/number&gt;&lt;dates&gt;&lt;year&gt;2015&lt;/year&gt;&lt;/dates&gt;&lt;urls&gt;&lt;related-urls&gt;&lt;url&gt;http://www.jahonline.org/article/S1054-139X(15)00064-6/fulltext&lt;/url&gt;&lt;/related-urls&gt;&lt;/urls&gt;&lt;/record&gt;&lt;/Cite&gt;&lt;/EndNote&gt;</w:instrText>
      </w:r>
      <w:r w:rsidRPr="00644EFF">
        <w:rPr>
          <w:rFonts w:cs="Arial"/>
          <w:sz w:val="16"/>
          <w:szCs w:val="16"/>
        </w:rPr>
        <w:fldChar w:fldCharType="separate"/>
      </w:r>
      <w:r w:rsidRPr="00644EFF">
        <w:rPr>
          <w:rFonts w:cs="Arial"/>
          <w:noProof/>
          <w:sz w:val="16"/>
          <w:szCs w:val="16"/>
        </w:rPr>
        <w:t>Fink</w:t>
      </w:r>
      <w:r>
        <w:rPr>
          <w:rFonts w:cs="Arial"/>
          <w:noProof/>
          <w:sz w:val="16"/>
          <w:szCs w:val="16"/>
        </w:rPr>
        <w:t xml:space="preserve"> E</w:t>
      </w:r>
      <w:r w:rsidRPr="00644EFF">
        <w:rPr>
          <w:rFonts w:cs="Arial"/>
          <w:noProof/>
          <w:sz w:val="16"/>
          <w:szCs w:val="16"/>
        </w:rPr>
        <w:t>, Patalay</w:t>
      </w:r>
      <w:r>
        <w:rPr>
          <w:rFonts w:cs="Arial"/>
          <w:noProof/>
          <w:sz w:val="16"/>
          <w:szCs w:val="16"/>
        </w:rPr>
        <w:t xml:space="preserve"> P</w:t>
      </w:r>
      <w:r w:rsidRPr="00644EFF">
        <w:rPr>
          <w:rFonts w:cs="Arial"/>
          <w:noProof/>
          <w:sz w:val="16"/>
          <w:szCs w:val="16"/>
        </w:rPr>
        <w:t>, Sharpe</w:t>
      </w:r>
      <w:r>
        <w:rPr>
          <w:rFonts w:cs="Arial"/>
          <w:noProof/>
          <w:sz w:val="16"/>
          <w:szCs w:val="16"/>
        </w:rPr>
        <w:t xml:space="preserve"> H, Holley S, Deighton J, Wolpert M</w:t>
      </w:r>
      <w:r w:rsidRPr="00644EFF">
        <w:rPr>
          <w:rFonts w:cs="Arial"/>
          <w:noProof/>
          <w:sz w:val="16"/>
          <w:szCs w:val="16"/>
        </w:rPr>
        <w:t xml:space="preserve"> (2015) Mental health difficulties in early adolescence: a comparison of two cross-sectional studies in England from 2009 to 2014. </w:t>
      </w:r>
      <w:r w:rsidRPr="00644EFF">
        <w:rPr>
          <w:rFonts w:cs="Arial"/>
          <w:i/>
          <w:noProof/>
          <w:sz w:val="16"/>
          <w:szCs w:val="16"/>
        </w:rPr>
        <w:t>Journal of Adolescent Health</w:t>
      </w:r>
      <w:r w:rsidRPr="00644EFF">
        <w:rPr>
          <w:rFonts w:cs="Arial"/>
          <w:noProof/>
          <w:sz w:val="16"/>
          <w:szCs w:val="16"/>
        </w:rPr>
        <w:t>. 56(5):502-7</w:t>
      </w:r>
      <w:r w:rsidRPr="00644EFF">
        <w:rPr>
          <w:rFonts w:cs="Arial"/>
          <w:sz w:val="16"/>
          <w:szCs w:val="16"/>
        </w:rPr>
        <w:fldChar w:fldCharType="end"/>
      </w:r>
      <w:r w:rsidRPr="00644EFF">
        <w:rPr>
          <w:rFonts w:cs="Arial"/>
          <w:sz w:val="16"/>
          <w:szCs w:val="16"/>
        </w:rPr>
        <w:t xml:space="preserve">, p. 505. Available from: </w:t>
      </w:r>
      <w:hyperlink r:id="rId60" w:history="1">
        <w:r w:rsidRPr="00644EFF">
          <w:rPr>
            <w:rStyle w:val="Hyperlink"/>
            <w:rFonts w:cs="Arial"/>
            <w:sz w:val="16"/>
            <w:szCs w:val="16"/>
          </w:rPr>
          <w:t>URL</w:t>
        </w:r>
      </w:hyperlink>
    </w:p>
  </w:footnote>
  <w:footnote w:id="71">
    <w:p w14:paraId="5E490840" w14:textId="0102B0D2" w:rsidR="00B208C1" w:rsidRPr="00644EFF" w:rsidRDefault="00B208C1" w:rsidP="00244F71">
      <w:pPr>
        <w:pStyle w:val="FootnoteText"/>
        <w:tabs>
          <w:tab w:val="left" w:pos="255"/>
        </w:tabs>
        <w:spacing w:after="40"/>
        <w:ind w:left="255" w:hanging="255"/>
        <w:jc w:val="both"/>
        <w:rPr>
          <w:rFonts w:cs="Arial"/>
          <w:sz w:val="16"/>
          <w:szCs w:val="16"/>
        </w:rPr>
      </w:pPr>
      <w:r w:rsidRPr="00E55D6D">
        <w:rPr>
          <w:rStyle w:val="FootnoteReference"/>
          <w:rFonts w:cs="Arial"/>
          <w:sz w:val="18"/>
          <w:szCs w:val="18"/>
        </w:rPr>
        <w:footnoteRef/>
      </w:r>
      <w:r w:rsidRPr="00E55D6D">
        <w:rPr>
          <w:rFonts w:cs="Arial"/>
          <w:sz w:val="18"/>
          <w:szCs w:val="18"/>
        </w:rPr>
        <w:t xml:space="preserve"> </w:t>
      </w:r>
      <w:r>
        <w:rPr>
          <w:rFonts w:cs="Arial"/>
          <w:sz w:val="16"/>
          <w:szCs w:val="16"/>
        </w:rPr>
        <w:tab/>
      </w:r>
      <w:r w:rsidRPr="00644EFF">
        <w:rPr>
          <w:rFonts w:cs="Arial"/>
          <w:sz w:val="16"/>
          <w:szCs w:val="16"/>
        </w:rPr>
        <w:t xml:space="preserve">Jackson ML, Sztendur EM, Diamond NT, </w:t>
      </w:r>
      <w:r>
        <w:rPr>
          <w:rFonts w:cs="Arial"/>
          <w:sz w:val="16"/>
          <w:szCs w:val="16"/>
        </w:rPr>
        <w:t>Byles JE, Bruck D</w:t>
      </w:r>
      <w:r w:rsidRPr="00644EFF">
        <w:rPr>
          <w:rFonts w:cs="Arial"/>
          <w:sz w:val="16"/>
          <w:szCs w:val="16"/>
        </w:rPr>
        <w:t xml:space="preserve"> (2014) </w:t>
      </w:r>
      <w:r w:rsidRPr="00CC66FC">
        <w:rPr>
          <w:rFonts w:cs="Arial"/>
          <w:sz w:val="16"/>
          <w:szCs w:val="16"/>
          <w:lang w:val="en"/>
        </w:rPr>
        <w:t>Sleep difficulties and the development of depression and anxiety: a longitudinal study of young Australian women</w:t>
      </w:r>
      <w:r w:rsidRPr="00644EFF">
        <w:rPr>
          <w:rFonts w:cs="Arial"/>
          <w:sz w:val="16"/>
          <w:szCs w:val="16"/>
          <w:lang w:val="en"/>
        </w:rPr>
        <w:t xml:space="preserve"> </w:t>
      </w:r>
      <w:r w:rsidRPr="00644EFF">
        <w:rPr>
          <w:rFonts w:cs="Arial"/>
          <w:i/>
          <w:sz w:val="16"/>
          <w:szCs w:val="16"/>
          <w:lang w:val="en"/>
        </w:rPr>
        <w:t>Archives of Women’s Mental Health</w:t>
      </w:r>
      <w:r>
        <w:rPr>
          <w:rFonts w:cs="Arial"/>
          <w:i/>
          <w:sz w:val="16"/>
          <w:szCs w:val="16"/>
          <w:lang w:val="en"/>
        </w:rPr>
        <w:t>.</w:t>
      </w:r>
      <w:r w:rsidRPr="00644EFF">
        <w:rPr>
          <w:rFonts w:cs="Arial"/>
          <w:sz w:val="16"/>
          <w:szCs w:val="16"/>
          <w:lang w:val="en"/>
        </w:rPr>
        <w:t xml:space="preserve"> 17(3)</w:t>
      </w:r>
      <w:r>
        <w:rPr>
          <w:rFonts w:cs="Arial"/>
          <w:sz w:val="16"/>
          <w:szCs w:val="16"/>
          <w:lang w:val="en"/>
        </w:rPr>
        <w:t>:</w:t>
      </w:r>
      <w:r w:rsidRPr="00644EFF">
        <w:rPr>
          <w:rFonts w:cs="Arial"/>
          <w:sz w:val="16"/>
          <w:szCs w:val="16"/>
          <w:lang w:val="en"/>
        </w:rPr>
        <w:t>189-198</w:t>
      </w:r>
      <w:r>
        <w:rPr>
          <w:rFonts w:cs="Arial"/>
          <w:sz w:val="16"/>
          <w:szCs w:val="16"/>
          <w:lang w:val="en"/>
        </w:rPr>
        <w:t xml:space="preserve">. Available from: </w:t>
      </w:r>
      <w:hyperlink r:id="rId61" w:history="1">
        <w:r w:rsidRPr="00CC66FC">
          <w:rPr>
            <w:rStyle w:val="Hyperlink"/>
            <w:rFonts w:cs="Arial"/>
            <w:sz w:val="16"/>
            <w:szCs w:val="16"/>
            <w:lang w:val="en"/>
          </w:rPr>
          <w:t>URL</w:t>
        </w:r>
      </w:hyperlink>
    </w:p>
  </w:footnote>
  <w:footnote w:id="72">
    <w:p w14:paraId="32CE66BA" w14:textId="3B55CF51" w:rsidR="00B208C1" w:rsidRPr="00644EFF" w:rsidRDefault="00B208C1" w:rsidP="00244F71">
      <w:pPr>
        <w:pStyle w:val="FootnoteText"/>
        <w:tabs>
          <w:tab w:val="left" w:pos="255"/>
        </w:tabs>
        <w:spacing w:after="40"/>
        <w:ind w:left="255" w:hanging="255"/>
        <w:jc w:val="both"/>
        <w:rPr>
          <w:rFonts w:cs="Arial"/>
          <w:sz w:val="16"/>
          <w:szCs w:val="16"/>
        </w:rPr>
      </w:pPr>
      <w:r w:rsidRPr="00E55D6D">
        <w:rPr>
          <w:rStyle w:val="FootnoteReference"/>
          <w:rFonts w:cs="Arial"/>
          <w:sz w:val="18"/>
          <w:szCs w:val="18"/>
        </w:rPr>
        <w:footnoteRef/>
      </w:r>
      <w:r w:rsidRPr="00E55D6D">
        <w:rPr>
          <w:rFonts w:cs="Arial"/>
          <w:sz w:val="18"/>
          <w:szCs w:val="18"/>
        </w:rPr>
        <w:t xml:space="preserve"> </w:t>
      </w:r>
      <w:r>
        <w:rPr>
          <w:rFonts w:cs="Arial"/>
          <w:sz w:val="16"/>
          <w:szCs w:val="16"/>
        </w:rPr>
        <w:tab/>
      </w:r>
      <w:r w:rsidRPr="00644EFF">
        <w:rPr>
          <w:rFonts w:cs="Arial"/>
          <w:sz w:val="16"/>
          <w:szCs w:val="16"/>
        </w:rPr>
        <w:t xml:space="preserve">Mwinyi J, Pisanu C, Castelao E, </w:t>
      </w:r>
      <w:bookmarkStart w:id="14" w:name="bau4"/>
      <w:r w:rsidRPr="00CC66FC">
        <w:rPr>
          <w:sz w:val="16"/>
          <w:szCs w:val="16"/>
        </w:rPr>
        <w:fldChar w:fldCharType="begin"/>
      </w:r>
      <w:r w:rsidRPr="00CC66FC">
        <w:rPr>
          <w:sz w:val="16"/>
          <w:szCs w:val="16"/>
        </w:rPr>
        <w:instrText xml:space="preserve"> HYPERLINK "https://www.sciencedirect.com/science/article/abs/pii/S1049386717300130" \l "!" </w:instrText>
      </w:r>
      <w:r w:rsidRPr="00CC66FC">
        <w:rPr>
          <w:sz w:val="16"/>
          <w:szCs w:val="16"/>
        </w:rPr>
        <w:fldChar w:fldCharType="separate"/>
      </w:r>
      <w:proofErr w:type="spellStart"/>
      <w:r w:rsidRPr="00CC66FC">
        <w:rPr>
          <w:rStyle w:val="text"/>
          <w:rFonts w:cs="Arial"/>
          <w:sz w:val="16"/>
          <w:szCs w:val="16"/>
        </w:rPr>
        <w:t>Stringhini</w:t>
      </w:r>
      <w:proofErr w:type="spellEnd"/>
      <w:r>
        <w:rPr>
          <w:rStyle w:val="text"/>
          <w:rFonts w:cs="Arial"/>
          <w:sz w:val="16"/>
          <w:szCs w:val="16"/>
        </w:rPr>
        <w:t xml:space="preserve"> S,</w:t>
      </w:r>
      <w:r w:rsidRPr="00CC66FC">
        <w:rPr>
          <w:sz w:val="16"/>
          <w:szCs w:val="16"/>
        </w:rPr>
        <w:fldChar w:fldCharType="end"/>
      </w:r>
      <w:bookmarkStart w:id="15" w:name="bau5"/>
      <w:bookmarkEnd w:id="14"/>
      <w:r>
        <w:rPr>
          <w:sz w:val="16"/>
          <w:szCs w:val="16"/>
        </w:rPr>
        <w:t xml:space="preserve"> </w:t>
      </w:r>
      <w:hyperlink r:id="rId62" w:anchor="!" w:history="1">
        <w:r w:rsidRPr="00CC66FC">
          <w:rPr>
            <w:rStyle w:val="text"/>
            <w:rFonts w:cs="Arial"/>
            <w:sz w:val="16"/>
            <w:szCs w:val="16"/>
          </w:rPr>
          <w:t>Preisig</w:t>
        </w:r>
        <w:r>
          <w:rPr>
            <w:rStyle w:val="text"/>
            <w:rFonts w:cs="Arial"/>
            <w:sz w:val="16"/>
            <w:szCs w:val="16"/>
          </w:rPr>
          <w:t xml:space="preserve"> M,</w:t>
        </w:r>
      </w:hyperlink>
      <w:bookmarkStart w:id="16" w:name="bau6"/>
      <w:bookmarkEnd w:id="15"/>
      <w:r w:rsidRPr="00CC66FC">
        <w:rPr>
          <w:sz w:val="16"/>
          <w:szCs w:val="16"/>
        </w:rPr>
        <w:fldChar w:fldCharType="begin"/>
      </w:r>
      <w:r w:rsidRPr="00CC66FC">
        <w:rPr>
          <w:sz w:val="16"/>
          <w:szCs w:val="16"/>
        </w:rPr>
        <w:instrText xml:space="preserve"> HYPERLINK "https://www.sciencedirect.com/science/article/abs/pii/S1049386717300130" \l "!" </w:instrText>
      </w:r>
      <w:r w:rsidRPr="00CC66FC">
        <w:rPr>
          <w:sz w:val="16"/>
          <w:szCs w:val="16"/>
        </w:rPr>
        <w:fldChar w:fldCharType="separate"/>
      </w:r>
      <w:r>
        <w:rPr>
          <w:rStyle w:val="text"/>
          <w:rFonts w:cs="Arial"/>
          <w:sz w:val="16"/>
          <w:szCs w:val="16"/>
        </w:rPr>
        <w:t xml:space="preserve"> </w:t>
      </w:r>
      <w:proofErr w:type="spellStart"/>
      <w:r w:rsidRPr="00CC66FC">
        <w:rPr>
          <w:rStyle w:val="text"/>
          <w:rFonts w:cs="Arial"/>
          <w:sz w:val="16"/>
          <w:szCs w:val="16"/>
        </w:rPr>
        <w:t>Schiöth</w:t>
      </w:r>
      <w:proofErr w:type="spellEnd"/>
      <w:r>
        <w:rPr>
          <w:rStyle w:val="text"/>
          <w:rFonts w:cs="Arial"/>
          <w:sz w:val="16"/>
          <w:szCs w:val="16"/>
        </w:rPr>
        <w:t xml:space="preserve"> HB</w:t>
      </w:r>
      <w:r w:rsidRPr="00CC66FC">
        <w:rPr>
          <w:sz w:val="16"/>
          <w:szCs w:val="16"/>
        </w:rPr>
        <w:fldChar w:fldCharType="end"/>
      </w:r>
      <w:bookmarkEnd w:id="16"/>
      <w:r w:rsidRPr="00644EFF">
        <w:rPr>
          <w:rFonts w:cs="Arial"/>
          <w:sz w:val="16"/>
          <w:szCs w:val="16"/>
        </w:rPr>
        <w:t xml:space="preserve"> (2017</w:t>
      </w:r>
      <w:r w:rsidRPr="00644EFF">
        <w:rPr>
          <w:rFonts w:cs="Arial"/>
          <w:color w:val="1155CC"/>
          <w:sz w:val="16"/>
          <w:szCs w:val="16"/>
        </w:rPr>
        <w:t xml:space="preserve">) </w:t>
      </w:r>
      <w:r w:rsidRPr="00CC66FC">
        <w:rPr>
          <w:rFonts w:cs="Arial"/>
          <w:sz w:val="16"/>
          <w:szCs w:val="16"/>
        </w:rPr>
        <w:t>Anxiety disorders are associated with low socioeconomic status in women but not in men</w:t>
      </w:r>
      <w:r w:rsidRPr="00644EFF">
        <w:rPr>
          <w:rFonts w:cs="Arial"/>
          <w:sz w:val="16"/>
          <w:szCs w:val="16"/>
        </w:rPr>
        <w:t xml:space="preserve"> </w:t>
      </w:r>
      <w:r w:rsidRPr="00644EFF">
        <w:rPr>
          <w:rFonts w:cs="Arial"/>
          <w:i/>
          <w:sz w:val="16"/>
          <w:szCs w:val="16"/>
        </w:rPr>
        <w:t>Women’s Health Issues</w:t>
      </w:r>
      <w:r w:rsidRPr="00644EFF">
        <w:rPr>
          <w:rFonts w:cs="Arial"/>
          <w:sz w:val="16"/>
          <w:szCs w:val="16"/>
        </w:rPr>
        <w:t xml:space="preserve"> 27(3)</w:t>
      </w:r>
      <w:r>
        <w:rPr>
          <w:rFonts w:cs="Arial"/>
          <w:sz w:val="16"/>
          <w:szCs w:val="16"/>
        </w:rPr>
        <w:t>:</w:t>
      </w:r>
      <w:r w:rsidRPr="00644EFF">
        <w:rPr>
          <w:rFonts w:cs="Arial"/>
          <w:sz w:val="16"/>
          <w:szCs w:val="16"/>
        </w:rPr>
        <w:t>302-307.</w:t>
      </w:r>
      <w:r>
        <w:rPr>
          <w:rFonts w:cs="Arial"/>
          <w:sz w:val="16"/>
          <w:szCs w:val="16"/>
        </w:rPr>
        <w:t xml:space="preserve"> Available from: </w:t>
      </w:r>
      <w:hyperlink r:id="rId63" w:history="1">
        <w:r w:rsidRPr="00CC66FC">
          <w:rPr>
            <w:rStyle w:val="Hyperlink"/>
            <w:rFonts w:cs="Arial"/>
            <w:sz w:val="16"/>
            <w:szCs w:val="16"/>
          </w:rPr>
          <w:t>URL</w:t>
        </w:r>
      </w:hyperlink>
    </w:p>
  </w:footnote>
  <w:footnote w:id="73">
    <w:p w14:paraId="3347C17E" w14:textId="1377A1D9" w:rsidR="00B208C1" w:rsidRPr="00644EFF" w:rsidRDefault="00B208C1" w:rsidP="00244F71">
      <w:pPr>
        <w:pStyle w:val="FootnoteText"/>
        <w:tabs>
          <w:tab w:val="left" w:pos="255"/>
        </w:tabs>
        <w:spacing w:after="40"/>
        <w:ind w:left="255" w:hanging="255"/>
        <w:jc w:val="both"/>
        <w:rPr>
          <w:rFonts w:cs="Arial"/>
          <w:sz w:val="16"/>
          <w:szCs w:val="16"/>
        </w:rPr>
      </w:pPr>
      <w:r w:rsidRPr="00E55D6D">
        <w:rPr>
          <w:rStyle w:val="FootnoteReference"/>
          <w:rFonts w:cs="Arial"/>
          <w:sz w:val="18"/>
          <w:szCs w:val="18"/>
        </w:rPr>
        <w:footnoteRef/>
      </w:r>
      <w:r w:rsidRPr="00E55D6D">
        <w:rPr>
          <w:rFonts w:cs="Arial"/>
          <w:sz w:val="18"/>
          <w:szCs w:val="18"/>
        </w:rPr>
        <w:t xml:space="preserve"> </w:t>
      </w:r>
      <w:r>
        <w:rPr>
          <w:rFonts w:cs="Arial"/>
          <w:sz w:val="16"/>
          <w:szCs w:val="16"/>
        </w:rPr>
        <w:tab/>
      </w:r>
      <w:r w:rsidRPr="00644EFF">
        <w:rPr>
          <w:rFonts w:cs="Arial"/>
          <w:sz w:val="16"/>
          <w:szCs w:val="16"/>
        </w:rPr>
        <w:t xml:space="preserve">Trevillion K, Oram S, Feder G, </w:t>
      </w:r>
      <w:r>
        <w:rPr>
          <w:rFonts w:cs="Arial"/>
          <w:sz w:val="16"/>
          <w:szCs w:val="16"/>
        </w:rPr>
        <w:t>Howard LM</w:t>
      </w:r>
      <w:r w:rsidRPr="00644EFF">
        <w:rPr>
          <w:rFonts w:cs="Arial"/>
          <w:sz w:val="16"/>
          <w:szCs w:val="16"/>
        </w:rPr>
        <w:t xml:space="preserve"> (2012) </w:t>
      </w:r>
      <w:r w:rsidRPr="00CC66FC">
        <w:rPr>
          <w:rFonts w:eastAsia="Calibri" w:cs="Arial"/>
          <w:sz w:val="16"/>
          <w:szCs w:val="16"/>
        </w:rPr>
        <w:t>Experiences of domestic violence and mental disorders: a systematic review and meta-analysis</w:t>
      </w:r>
      <w:r w:rsidRPr="00644EFF">
        <w:rPr>
          <w:rFonts w:eastAsia="Calibri" w:cs="Arial"/>
          <w:sz w:val="16"/>
          <w:szCs w:val="16"/>
        </w:rPr>
        <w:t xml:space="preserve"> </w:t>
      </w:r>
      <w:r w:rsidRPr="00644EFF">
        <w:rPr>
          <w:rFonts w:eastAsia="Calibri" w:cs="Arial"/>
          <w:i/>
          <w:sz w:val="16"/>
          <w:szCs w:val="16"/>
        </w:rPr>
        <w:t>PLOS One</w:t>
      </w:r>
      <w:r>
        <w:rPr>
          <w:rFonts w:eastAsia="Calibri" w:cs="Arial"/>
          <w:i/>
          <w:sz w:val="16"/>
          <w:szCs w:val="16"/>
        </w:rPr>
        <w:t>.</w:t>
      </w:r>
      <w:r w:rsidRPr="00644EFF">
        <w:rPr>
          <w:rFonts w:eastAsia="Calibri" w:cs="Arial"/>
          <w:sz w:val="16"/>
          <w:szCs w:val="16"/>
        </w:rPr>
        <w:t xml:space="preserve"> 7(12):</w:t>
      </w:r>
      <w:r w:rsidRPr="00644EFF">
        <w:rPr>
          <w:rFonts w:cs="Arial"/>
          <w:sz w:val="16"/>
          <w:szCs w:val="16"/>
        </w:rPr>
        <w:t>e51740.</w:t>
      </w:r>
      <w:r>
        <w:rPr>
          <w:rFonts w:cs="Arial"/>
          <w:sz w:val="16"/>
          <w:szCs w:val="16"/>
        </w:rPr>
        <w:t xml:space="preserve"> Available from: </w:t>
      </w:r>
      <w:hyperlink r:id="rId64" w:history="1">
        <w:r w:rsidRPr="00CC66FC">
          <w:rPr>
            <w:rStyle w:val="Hyperlink"/>
            <w:rFonts w:cs="Arial"/>
            <w:sz w:val="16"/>
            <w:szCs w:val="16"/>
          </w:rPr>
          <w:t>URL</w:t>
        </w:r>
      </w:hyperlink>
    </w:p>
  </w:footnote>
  <w:footnote w:id="74">
    <w:p w14:paraId="62D6C308" w14:textId="18704546" w:rsidR="00B208C1" w:rsidRPr="00644EFF" w:rsidRDefault="00B208C1" w:rsidP="00244F71">
      <w:pPr>
        <w:pStyle w:val="FootnoteText"/>
        <w:tabs>
          <w:tab w:val="left" w:pos="255"/>
          <w:tab w:val="left" w:pos="289"/>
        </w:tabs>
        <w:spacing w:after="40"/>
        <w:ind w:left="255" w:hanging="255"/>
        <w:jc w:val="both"/>
        <w:rPr>
          <w:rFonts w:cs="Arial"/>
          <w:sz w:val="16"/>
          <w:szCs w:val="16"/>
        </w:rPr>
      </w:pPr>
      <w:r w:rsidRPr="00E55D6D">
        <w:rPr>
          <w:rStyle w:val="FootnoteReference"/>
          <w:rFonts w:cs="Arial"/>
          <w:sz w:val="18"/>
          <w:szCs w:val="18"/>
        </w:rPr>
        <w:footnoteRef/>
      </w:r>
      <w:r w:rsidRPr="00E55D6D">
        <w:rPr>
          <w:rFonts w:cs="Arial"/>
          <w:sz w:val="18"/>
          <w:szCs w:val="18"/>
        </w:rPr>
        <w:t xml:space="preserve"> </w:t>
      </w:r>
      <w:r>
        <w:rPr>
          <w:rFonts w:cs="Arial"/>
          <w:sz w:val="16"/>
          <w:szCs w:val="16"/>
        </w:rPr>
        <w:tab/>
      </w:r>
      <w:r w:rsidRPr="00644EFF">
        <w:rPr>
          <w:rFonts w:cs="Arial"/>
          <w:sz w:val="16"/>
          <w:szCs w:val="16"/>
        </w:rPr>
        <w:t>AIHW (2018) Deaths in Australia: web report. Supplementary tables. Table S3.2 leading causes of Death, by age group, 2014-16.</w:t>
      </w:r>
      <w:r>
        <w:rPr>
          <w:rFonts w:cs="Arial"/>
          <w:sz w:val="16"/>
          <w:szCs w:val="16"/>
        </w:rPr>
        <w:t xml:space="preserve"> Available from:</w:t>
      </w:r>
      <w:r w:rsidRPr="00644EFF">
        <w:rPr>
          <w:rFonts w:cs="Arial"/>
          <w:sz w:val="16"/>
          <w:szCs w:val="16"/>
        </w:rPr>
        <w:t xml:space="preserve"> </w:t>
      </w:r>
      <w:hyperlink r:id="rId65" w:history="1">
        <w:r>
          <w:rPr>
            <w:rStyle w:val="Hyperlink"/>
            <w:rFonts w:cs="Arial"/>
            <w:sz w:val="16"/>
            <w:szCs w:val="16"/>
          </w:rPr>
          <w:t>URL</w:t>
        </w:r>
      </w:hyperlink>
    </w:p>
  </w:footnote>
  <w:footnote w:id="75">
    <w:p w14:paraId="6404F5F3" w14:textId="244B1440" w:rsidR="00B208C1" w:rsidRPr="00644EFF" w:rsidRDefault="00B208C1" w:rsidP="00244F71">
      <w:pPr>
        <w:pStyle w:val="FootnoteText"/>
        <w:tabs>
          <w:tab w:val="left" w:pos="255"/>
        </w:tabs>
        <w:spacing w:after="40"/>
        <w:ind w:left="255" w:hanging="255"/>
        <w:rPr>
          <w:rFonts w:cs="Arial"/>
          <w:sz w:val="16"/>
          <w:szCs w:val="16"/>
        </w:rPr>
      </w:pPr>
      <w:r w:rsidRPr="00644EFF">
        <w:rPr>
          <w:rStyle w:val="FootnoteReference"/>
          <w:rFonts w:cs="Arial"/>
          <w:sz w:val="18"/>
          <w:szCs w:val="18"/>
        </w:rPr>
        <w:footnoteRef/>
      </w:r>
      <w:r w:rsidRPr="00644EFF">
        <w:rPr>
          <w:rFonts w:cs="Arial"/>
          <w:sz w:val="16"/>
          <w:szCs w:val="16"/>
        </w:rPr>
        <w:t xml:space="preserve"> </w:t>
      </w:r>
      <w:r w:rsidRPr="00644EFF">
        <w:rPr>
          <w:rFonts w:cs="Arial"/>
          <w:sz w:val="16"/>
          <w:szCs w:val="16"/>
        </w:rPr>
        <w:tab/>
        <w:t>A</w:t>
      </w:r>
      <w:r>
        <w:rPr>
          <w:rFonts w:cs="Arial"/>
          <w:sz w:val="16"/>
          <w:szCs w:val="16"/>
        </w:rPr>
        <w:t>IHW,</w:t>
      </w:r>
      <w:r w:rsidRPr="00644EFF">
        <w:rPr>
          <w:rFonts w:cs="Arial"/>
          <w:sz w:val="16"/>
          <w:szCs w:val="16"/>
        </w:rPr>
        <w:t xml:space="preserve"> Henley G</w:t>
      </w:r>
      <w:r>
        <w:rPr>
          <w:rFonts w:cs="Arial"/>
          <w:sz w:val="16"/>
          <w:szCs w:val="16"/>
        </w:rPr>
        <w:t xml:space="preserve">, </w:t>
      </w:r>
      <w:r w:rsidRPr="00644EFF">
        <w:rPr>
          <w:rFonts w:cs="Arial"/>
          <w:sz w:val="16"/>
          <w:szCs w:val="16"/>
        </w:rPr>
        <w:t>Harrison JE</w:t>
      </w:r>
      <w:r>
        <w:rPr>
          <w:rFonts w:cs="Arial"/>
          <w:sz w:val="16"/>
          <w:szCs w:val="16"/>
        </w:rPr>
        <w:t xml:space="preserve"> (</w:t>
      </w:r>
      <w:r w:rsidRPr="00644EFF">
        <w:rPr>
          <w:rFonts w:cs="Arial"/>
          <w:sz w:val="16"/>
          <w:szCs w:val="16"/>
        </w:rPr>
        <w:t>2020</w:t>
      </w:r>
      <w:r>
        <w:rPr>
          <w:rFonts w:cs="Arial"/>
          <w:sz w:val="16"/>
          <w:szCs w:val="16"/>
        </w:rPr>
        <w:t>)</w:t>
      </w:r>
      <w:r w:rsidRPr="00644EFF">
        <w:rPr>
          <w:rFonts w:cs="Arial"/>
          <w:sz w:val="16"/>
          <w:szCs w:val="16"/>
        </w:rPr>
        <w:t xml:space="preserve"> </w:t>
      </w:r>
      <w:r w:rsidRPr="000C3290">
        <w:rPr>
          <w:rFonts w:cs="Arial"/>
          <w:sz w:val="16"/>
          <w:szCs w:val="16"/>
        </w:rPr>
        <w:t xml:space="preserve">Suicide in Australia: </w:t>
      </w:r>
      <w:r>
        <w:rPr>
          <w:rFonts w:cs="Arial"/>
          <w:sz w:val="16"/>
          <w:szCs w:val="16"/>
        </w:rPr>
        <w:t>t</w:t>
      </w:r>
      <w:r w:rsidRPr="000C3290">
        <w:rPr>
          <w:rFonts w:cs="Arial"/>
          <w:sz w:val="16"/>
          <w:szCs w:val="16"/>
        </w:rPr>
        <w:t>rends and analysis</w:t>
      </w:r>
      <w:r>
        <w:rPr>
          <w:rFonts w:cs="Arial"/>
          <w:sz w:val="16"/>
          <w:szCs w:val="16"/>
        </w:rPr>
        <w:t xml:space="preserve">: </w:t>
      </w:r>
      <w:r w:rsidRPr="000C3290">
        <w:rPr>
          <w:rFonts w:cs="Arial"/>
          <w:sz w:val="16"/>
          <w:szCs w:val="16"/>
        </w:rPr>
        <w:t>1964 to 2018</w:t>
      </w:r>
      <w:r w:rsidRPr="00644EFF">
        <w:rPr>
          <w:rFonts w:cs="Arial"/>
          <w:sz w:val="16"/>
          <w:szCs w:val="16"/>
        </w:rPr>
        <w:t>. Australian Institute of Health and Welfare</w:t>
      </w:r>
      <w:r>
        <w:rPr>
          <w:rFonts w:cs="Arial"/>
          <w:sz w:val="16"/>
          <w:szCs w:val="16"/>
        </w:rPr>
        <w:t>, Canberra. – (</w:t>
      </w:r>
      <w:r w:rsidRPr="000C3290">
        <w:rPr>
          <w:rFonts w:cs="Arial"/>
          <w:i/>
          <w:iCs/>
          <w:sz w:val="16"/>
          <w:szCs w:val="16"/>
        </w:rPr>
        <w:t>Injury Research and Statistics; no. 132</w:t>
      </w:r>
      <w:r>
        <w:rPr>
          <w:rFonts w:cs="Arial"/>
          <w:sz w:val="16"/>
          <w:szCs w:val="16"/>
        </w:rPr>
        <w:t xml:space="preserve">). Available from: </w:t>
      </w:r>
      <w:hyperlink r:id="rId66" w:history="1">
        <w:r w:rsidRPr="000C3290">
          <w:rPr>
            <w:rStyle w:val="Hyperlink"/>
            <w:rFonts w:cs="Arial"/>
            <w:sz w:val="16"/>
            <w:szCs w:val="16"/>
          </w:rPr>
          <w:t>URL</w:t>
        </w:r>
      </w:hyperlink>
    </w:p>
  </w:footnote>
  <w:footnote w:id="76">
    <w:p w14:paraId="2D5C68A2" w14:textId="0B957F56" w:rsidR="00B208C1" w:rsidRPr="00644EFF" w:rsidRDefault="00B208C1" w:rsidP="00244F71">
      <w:pPr>
        <w:pStyle w:val="FootnoteText"/>
        <w:tabs>
          <w:tab w:val="left" w:pos="255"/>
          <w:tab w:val="left" w:pos="289"/>
        </w:tabs>
        <w:spacing w:after="40"/>
        <w:ind w:left="255" w:right="-170" w:hanging="255"/>
        <w:rPr>
          <w:rFonts w:cs="Arial"/>
          <w:sz w:val="16"/>
          <w:szCs w:val="16"/>
        </w:rPr>
      </w:pPr>
      <w:r w:rsidRPr="00644EFF">
        <w:rPr>
          <w:rStyle w:val="FootnoteReference"/>
          <w:rFonts w:cs="Arial"/>
          <w:sz w:val="18"/>
          <w:szCs w:val="18"/>
        </w:rPr>
        <w:footnoteRef/>
      </w:r>
      <w:r w:rsidRPr="00644EFF">
        <w:rPr>
          <w:rFonts w:cs="Arial"/>
          <w:sz w:val="16"/>
          <w:szCs w:val="16"/>
        </w:rPr>
        <w:t xml:space="preserve"> </w:t>
      </w:r>
      <w:r w:rsidRPr="00644EFF">
        <w:rPr>
          <w:rFonts w:cs="Arial"/>
          <w:sz w:val="16"/>
          <w:szCs w:val="16"/>
        </w:rPr>
        <w:tab/>
        <w:t xml:space="preserve">Robinson J, McCutcheon I, Browne V, et al. (2016) </w:t>
      </w:r>
      <w:r w:rsidRPr="00644EFF">
        <w:rPr>
          <w:rFonts w:cs="Arial"/>
          <w:sz w:val="16"/>
          <w:szCs w:val="16"/>
        </w:rPr>
        <w:fldChar w:fldCharType="begin"/>
      </w:r>
      <w:r w:rsidRPr="00644EFF">
        <w:rPr>
          <w:rFonts w:cs="Arial"/>
          <w:sz w:val="16"/>
          <w:szCs w:val="16"/>
        </w:rPr>
        <w:instrText xml:space="preserve"> ADDIN EN.CITE &lt;EndNote&gt;&lt;Cite&gt;&lt;Author&gt;Robinson&lt;/Author&gt;&lt;Year&gt;2016&lt;/Year&gt;&lt;RecNum&gt;763&lt;/RecNum&gt;&lt;DisplayText&gt;ibid.&lt;/DisplayText&gt;&lt;record&gt;&lt;rec-number&gt;763&lt;/rec-number&gt;&lt;foreign-keys&gt;&lt;key app="EN" db-id="ssa09sw2ttazvjex2225xtt350ewfx2vadfs"&gt;763&lt;/key&gt;&lt;/foreign-keys&gt;&lt;ref-type name="Book"&gt;6&lt;/ref-type&gt;&lt;contributors&gt;&lt;authors&gt;&lt;author&gt;Robinson, J&lt;/author&gt;&lt;author&gt;McCutcheon, L&lt;/author&gt;&lt;author&gt;Browne, V&lt;/author&gt;&lt;author&gt;Witt, K.&lt;/author&gt;&lt;/authors&gt;&lt;/contributors&gt;&lt;titles&gt;&lt;title&gt;Looking the other way : young people and self-harm&lt;/title&gt;&lt;/titles&gt;&lt;dates&gt;&lt;year&gt;2016&lt;/year&gt;&lt;/dates&gt;&lt;pub-location&gt;Melbourne&lt;/pub-location&gt;&lt;publisher&gt;Orygen, The National Centre of Excellence in Youth Mental Health&lt;/publisher&gt;&lt;isbn&gt;9781920718725&lt;/isbn&gt;&lt;urls&gt;&lt;related-urls&gt;&lt;url&gt;https://www.orygen.org.au/About/News-And-Events/Looking-the-Other-Way-Young-People-and-Self-Harm&lt;/url&gt;&lt;/related-urls&gt;&lt;/urls&gt;&lt;/record&gt;&lt;/Cite&gt;&lt;/EndNote&gt;</w:instrText>
      </w:r>
      <w:r w:rsidRPr="00644EFF">
        <w:rPr>
          <w:rFonts w:cs="Arial"/>
          <w:sz w:val="16"/>
          <w:szCs w:val="16"/>
        </w:rPr>
        <w:fldChar w:fldCharType="separate"/>
      </w:r>
      <w:r w:rsidRPr="00644EFF">
        <w:rPr>
          <w:rFonts w:cs="Arial"/>
          <w:noProof/>
          <w:sz w:val="16"/>
          <w:szCs w:val="16"/>
        </w:rPr>
        <w:t>Looking the other way: young people and self-harm.</w:t>
      </w:r>
      <w:r w:rsidRPr="00644EFF">
        <w:rPr>
          <w:rFonts w:cs="Arial"/>
          <w:sz w:val="16"/>
          <w:szCs w:val="16"/>
        </w:rPr>
        <w:fldChar w:fldCharType="end"/>
      </w:r>
      <w:r w:rsidRPr="00644EFF">
        <w:rPr>
          <w:rFonts w:cs="Arial"/>
          <w:sz w:val="16"/>
          <w:szCs w:val="16"/>
        </w:rPr>
        <w:t xml:space="preserve"> Orygen, The National Centre of Excellence in Youth Mental Health, Melbourne, p. 12. Available from: </w:t>
      </w:r>
      <w:hyperlink r:id="rId67" w:history="1">
        <w:r w:rsidRPr="00644EFF">
          <w:rPr>
            <w:rStyle w:val="Hyperlink"/>
            <w:rFonts w:cs="Arial"/>
            <w:sz w:val="16"/>
            <w:szCs w:val="16"/>
          </w:rPr>
          <w:t>URL</w:t>
        </w:r>
      </w:hyperlink>
    </w:p>
  </w:footnote>
  <w:footnote w:id="77">
    <w:p w14:paraId="4D26E445" w14:textId="3BDB4139" w:rsidR="00B208C1" w:rsidRPr="00644EFF" w:rsidRDefault="00B208C1" w:rsidP="00244F71">
      <w:pPr>
        <w:pStyle w:val="FootnoteText"/>
        <w:tabs>
          <w:tab w:val="left" w:pos="255"/>
        </w:tabs>
        <w:spacing w:after="40"/>
        <w:ind w:left="255" w:hanging="255"/>
        <w:rPr>
          <w:rFonts w:cs="Arial"/>
          <w:sz w:val="16"/>
          <w:szCs w:val="16"/>
        </w:rPr>
      </w:pPr>
      <w:r w:rsidRPr="00644EFF">
        <w:rPr>
          <w:rStyle w:val="FootnoteReference"/>
          <w:rFonts w:cs="Arial"/>
          <w:sz w:val="18"/>
          <w:szCs w:val="18"/>
        </w:rPr>
        <w:footnoteRef/>
      </w:r>
      <w:r w:rsidRPr="00644EFF">
        <w:rPr>
          <w:rFonts w:cs="Arial"/>
          <w:sz w:val="16"/>
          <w:szCs w:val="16"/>
        </w:rPr>
        <w:t xml:space="preserve"> </w:t>
      </w:r>
      <w:r w:rsidRPr="00644EFF">
        <w:rPr>
          <w:rFonts w:cs="Arial"/>
          <w:sz w:val="16"/>
          <w:szCs w:val="16"/>
        </w:rPr>
        <w:tab/>
        <w:t xml:space="preserve">AIFS (2020), </w:t>
      </w:r>
      <w:r w:rsidRPr="00B97616">
        <w:rPr>
          <w:rFonts w:cs="Arial"/>
          <w:sz w:val="16"/>
          <w:szCs w:val="16"/>
        </w:rPr>
        <w:t>Suicide and intentional self-harm</w:t>
      </w:r>
      <w:r w:rsidRPr="00644EFF">
        <w:rPr>
          <w:rFonts w:cs="Arial"/>
          <w:sz w:val="16"/>
          <w:szCs w:val="16"/>
        </w:rPr>
        <w:t xml:space="preserve"> </w:t>
      </w:r>
      <w:r w:rsidRPr="00B97616">
        <w:rPr>
          <w:rFonts w:cs="Arial"/>
          <w:i/>
          <w:iCs/>
          <w:sz w:val="16"/>
          <w:szCs w:val="16"/>
        </w:rPr>
        <w:t>In:</w:t>
      </w:r>
      <w:r w:rsidRPr="00644EFF">
        <w:rPr>
          <w:rFonts w:cs="Arial"/>
          <w:sz w:val="16"/>
          <w:szCs w:val="16"/>
        </w:rPr>
        <w:t xml:space="preserve"> Australia's health 2020</w:t>
      </w:r>
      <w:r>
        <w:rPr>
          <w:rFonts w:cs="Arial"/>
          <w:sz w:val="16"/>
          <w:szCs w:val="16"/>
        </w:rPr>
        <w:t xml:space="preserve">. </w:t>
      </w:r>
      <w:r w:rsidRPr="00644EFF">
        <w:rPr>
          <w:rFonts w:cs="Arial"/>
          <w:sz w:val="16"/>
          <w:szCs w:val="16"/>
        </w:rPr>
        <w:t>Australia</w:t>
      </w:r>
      <w:r>
        <w:rPr>
          <w:rFonts w:cs="Arial"/>
          <w:sz w:val="16"/>
          <w:szCs w:val="16"/>
        </w:rPr>
        <w:t>n</w:t>
      </w:r>
      <w:r w:rsidRPr="00644EFF">
        <w:rPr>
          <w:rFonts w:cs="Arial"/>
          <w:sz w:val="16"/>
          <w:szCs w:val="16"/>
        </w:rPr>
        <w:t xml:space="preserve"> Institute of Health and Welfare, Canberra</w:t>
      </w:r>
      <w:r>
        <w:rPr>
          <w:rFonts w:cs="Arial"/>
          <w:sz w:val="16"/>
          <w:szCs w:val="16"/>
        </w:rPr>
        <w:t xml:space="preserve">. Available from: </w:t>
      </w:r>
      <w:hyperlink r:id="rId68" w:history="1">
        <w:r w:rsidRPr="00B97616">
          <w:rPr>
            <w:rStyle w:val="Hyperlink"/>
            <w:rFonts w:cs="Arial"/>
            <w:sz w:val="16"/>
            <w:szCs w:val="16"/>
          </w:rPr>
          <w:t>URL</w:t>
        </w:r>
      </w:hyperlink>
    </w:p>
  </w:footnote>
  <w:footnote w:id="78">
    <w:p w14:paraId="6810079A" w14:textId="0042711C" w:rsidR="00B208C1" w:rsidRPr="00644EFF" w:rsidRDefault="00B208C1" w:rsidP="00244F71">
      <w:pPr>
        <w:pStyle w:val="FootnoteText"/>
        <w:tabs>
          <w:tab w:val="left" w:pos="255"/>
          <w:tab w:val="left" w:pos="289"/>
        </w:tabs>
        <w:spacing w:after="40"/>
        <w:ind w:left="255" w:right="-170" w:hanging="255"/>
        <w:rPr>
          <w:rFonts w:cs="Arial"/>
          <w:sz w:val="16"/>
          <w:szCs w:val="16"/>
        </w:rPr>
      </w:pPr>
      <w:r w:rsidRPr="00644EFF">
        <w:rPr>
          <w:rStyle w:val="FootnoteReference"/>
          <w:rFonts w:cs="Arial"/>
          <w:sz w:val="18"/>
          <w:szCs w:val="18"/>
        </w:rPr>
        <w:footnoteRef/>
      </w:r>
      <w:r w:rsidRPr="00644EFF">
        <w:rPr>
          <w:rFonts w:cs="Arial"/>
          <w:sz w:val="18"/>
          <w:szCs w:val="18"/>
        </w:rPr>
        <w:t xml:space="preserve"> </w:t>
      </w:r>
      <w:r w:rsidRPr="00644EFF">
        <w:rPr>
          <w:rFonts w:cs="Arial"/>
          <w:sz w:val="16"/>
          <w:szCs w:val="16"/>
        </w:rPr>
        <w:tab/>
        <w:t xml:space="preserve">Suicide Prevention Australia (2016) </w:t>
      </w:r>
      <w:r w:rsidRPr="00F17AD5">
        <w:rPr>
          <w:rFonts w:cs="Arial"/>
          <w:sz w:val="16"/>
          <w:szCs w:val="16"/>
        </w:rPr>
        <w:t xml:space="preserve">Suicide and </w:t>
      </w:r>
      <w:r>
        <w:rPr>
          <w:rFonts w:cs="Arial"/>
          <w:sz w:val="16"/>
          <w:szCs w:val="16"/>
        </w:rPr>
        <w:t>s</w:t>
      </w:r>
      <w:r w:rsidRPr="00F17AD5">
        <w:rPr>
          <w:rFonts w:cs="Arial"/>
          <w:sz w:val="16"/>
          <w:szCs w:val="16"/>
        </w:rPr>
        <w:t xml:space="preserve">uicidal </w:t>
      </w:r>
      <w:r>
        <w:rPr>
          <w:rFonts w:cs="Arial"/>
          <w:sz w:val="16"/>
          <w:szCs w:val="16"/>
        </w:rPr>
        <w:t>b</w:t>
      </w:r>
      <w:r w:rsidRPr="00F17AD5">
        <w:rPr>
          <w:rFonts w:cs="Arial"/>
          <w:sz w:val="16"/>
          <w:szCs w:val="16"/>
        </w:rPr>
        <w:t xml:space="preserve">ehaviour in </w:t>
      </w:r>
      <w:r>
        <w:rPr>
          <w:rFonts w:cs="Arial"/>
          <w:sz w:val="16"/>
          <w:szCs w:val="16"/>
        </w:rPr>
        <w:t>w</w:t>
      </w:r>
      <w:r w:rsidRPr="00F17AD5">
        <w:rPr>
          <w:rFonts w:cs="Arial"/>
          <w:sz w:val="16"/>
          <w:szCs w:val="16"/>
        </w:rPr>
        <w:t>omen</w:t>
      </w:r>
      <w:r>
        <w:rPr>
          <w:rFonts w:cs="Arial"/>
          <w:sz w:val="16"/>
          <w:szCs w:val="16"/>
        </w:rPr>
        <w:t xml:space="preserve">: issues and prevention: a discussion paper. Suicide Prevention Australia. Sydney, </w:t>
      </w:r>
      <w:r w:rsidRPr="00F17AD5">
        <w:rPr>
          <w:rFonts w:cs="Arial"/>
          <w:sz w:val="16"/>
          <w:szCs w:val="16"/>
        </w:rPr>
        <w:t>p</w:t>
      </w:r>
      <w:r>
        <w:rPr>
          <w:rFonts w:cs="Arial"/>
          <w:sz w:val="16"/>
          <w:szCs w:val="16"/>
        </w:rPr>
        <w:t xml:space="preserve">. </w:t>
      </w:r>
      <w:r w:rsidRPr="00F17AD5">
        <w:rPr>
          <w:rFonts w:cs="Arial"/>
          <w:sz w:val="16"/>
          <w:szCs w:val="16"/>
        </w:rPr>
        <w:t xml:space="preserve">24. Available from: </w:t>
      </w:r>
      <w:hyperlink r:id="rId69" w:history="1">
        <w:r>
          <w:rPr>
            <w:rStyle w:val="Hyperlink"/>
            <w:rFonts w:cs="Arial"/>
            <w:sz w:val="16"/>
            <w:szCs w:val="16"/>
          </w:rPr>
          <w:t>URL</w:t>
        </w:r>
      </w:hyperlink>
    </w:p>
  </w:footnote>
  <w:footnote w:id="79">
    <w:p w14:paraId="4A00854C" w14:textId="029D3AD5" w:rsidR="00B208C1" w:rsidRPr="00644EFF" w:rsidRDefault="00B208C1" w:rsidP="00244F71">
      <w:pPr>
        <w:pStyle w:val="FootnoteText"/>
        <w:tabs>
          <w:tab w:val="left" w:pos="255"/>
        </w:tabs>
        <w:spacing w:after="40"/>
        <w:ind w:left="255" w:hanging="255"/>
        <w:rPr>
          <w:rFonts w:cs="Arial"/>
          <w:sz w:val="16"/>
          <w:szCs w:val="16"/>
        </w:rPr>
      </w:pPr>
      <w:r w:rsidRPr="00644EFF">
        <w:rPr>
          <w:rStyle w:val="FootnoteReference"/>
          <w:rFonts w:cs="Arial"/>
          <w:sz w:val="18"/>
          <w:szCs w:val="18"/>
        </w:rPr>
        <w:footnoteRef/>
      </w:r>
      <w:r w:rsidRPr="00644EFF">
        <w:rPr>
          <w:rFonts w:cs="Arial"/>
          <w:sz w:val="16"/>
          <w:szCs w:val="16"/>
        </w:rPr>
        <w:t xml:space="preserve"> </w:t>
      </w:r>
      <w:r w:rsidRPr="00644EFF">
        <w:rPr>
          <w:rFonts w:cs="Arial"/>
          <w:sz w:val="16"/>
          <w:szCs w:val="16"/>
        </w:rPr>
        <w:tab/>
        <w:t xml:space="preserve">Harrison JE, Henley G (2014) </w:t>
      </w:r>
      <w:r w:rsidRPr="00562833">
        <w:rPr>
          <w:rFonts w:cs="Arial"/>
          <w:sz w:val="16"/>
          <w:szCs w:val="16"/>
        </w:rPr>
        <w:t>Suicide and hospitalised self-harm in Australia</w:t>
      </w:r>
      <w:r>
        <w:rPr>
          <w:rFonts w:cs="Arial"/>
          <w:sz w:val="16"/>
          <w:szCs w:val="16"/>
        </w:rPr>
        <w:t>: t</w:t>
      </w:r>
      <w:r w:rsidRPr="00562833">
        <w:rPr>
          <w:rFonts w:cs="Arial"/>
          <w:sz w:val="16"/>
          <w:szCs w:val="16"/>
        </w:rPr>
        <w:t xml:space="preserve">rends and analysis: </w:t>
      </w:r>
      <w:r>
        <w:rPr>
          <w:rFonts w:cs="Arial"/>
          <w:sz w:val="16"/>
          <w:szCs w:val="16"/>
        </w:rPr>
        <w:t>h</w:t>
      </w:r>
      <w:r w:rsidRPr="00562833">
        <w:rPr>
          <w:rFonts w:cs="Arial"/>
          <w:sz w:val="16"/>
          <w:szCs w:val="16"/>
        </w:rPr>
        <w:t>ospitalised intentional self-harm: 2010-11</w:t>
      </w:r>
      <w:r>
        <w:rPr>
          <w:rFonts w:cs="Arial"/>
          <w:sz w:val="16"/>
          <w:szCs w:val="16"/>
        </w:rPr>
        <w:t>.</w:t>
      </w:r>
      <w:r w:rsidRPr="00644EFF">
        <w:rPr>
          <w:rFonts w:cs="Arial"/>
          <w:sz w:val="16"/>
          <w:szCs w:val="16"/>
        </w:rPr>
        <w:t xml:space="preserve"> Australian Institute of Health and Welfare, Canberra</w:t>
      </w:r>
      <w:r>
        <w:rPr>
          <w:rFonts w:cs="Arial"/>
          <w:sz w:val="16"/>
          <w:szCs w:val="16"/>
        </w:rPr>
        <w:t xml:space="preserve">.. Available from: </w:t>
      </w:r>
      <w:hyperlink r:id="rId70" w:history="1">
        <w:r w:rsidRPr="00562833">
          <w:rPr>
            <w:rStyle w:val="Hyperlink"/>
            <w:rFonts w:cs="Arial"/>
            <w:sz w:val="16"/>
            <w:szCs w:val="16"/>
          </w:rPr>
          <w:t>URL</w:t>
        </w:r>
      </w:hyperlink>
    </w:p>
  </w:footnote>
  <w:footnote w:id="80">
    <w:p w14:paraId="11069319" w14:textId="21E0F9BA" w:rsidR="00B208C1" w:rsidRPr="00644EFF" w:rsidRDefault="00B208C1" w:rsidP="00244F71">
      <w:pPr>
        <w:tabs>
          <w:tab w:val="left" w:pos="255"/>
          <w:tab w:val="left" w:pos="432"/>
        </w:tabs>
        <w:spacing w:after="40" w:line="240" w:lineRule="auto"/>
        <w:ind w:left="255" w:hanging="255"/>
        <w:rPr>
          <w:rFonts w:ascii="Arial" w:hAnsi="Arial" w:cs="Arial"/>
          <w:sz w:val="16"/>
          <w:szCs w:val="16"/>
        </w:rPr>
      </w:pPr>
      <w:r w:rsidRPr="00644EFF">
        <w:rPr>
          <w:rStyle w:val="FootnoteReference"/>
          <w:rFonts w:ascii="Arial" w:hAnsi="Arial" w:cs="Arial"/>
          <w:sz w:val="18"/>
          <w:szCs w:val="18"/>
        </w:rPr>
        <w:footnoteRef/>
      </w:r>
      <w:r w:rsidRPr="00644EFF">
        <w:rPr>
          <w:rFonts w:ascii="Arial" w:hAnsi="Arial" w:cs="Arial"/>
          <w:sz w:val="18"/>
          <w:szCs w:val="18"/>
        </w:rPr>
        <w:t xml:space="preserve"> </w:t>
      </w:r>
      <w:r w:rsidRPr="00644EFF">
        <w:rPr>
          <w:rFonts w:ascii="Arial" w:hAnsi="Arial" w:cs="Arial"/>
          <w:sz w:val="16"/>
          <w:szCs w:val="16"/>
        </w:rPr>
        <w:tab/>
        <w:t xml:space="preserve">Strauss P, </w:t>
      </w:r>
      <w:r>
        <w:rPr>
          <w:rFonts w:ascii="Arial" w:hAnsi="Arial" w:cs="Arial"/>
          <w:sz w:val="16"/>
          <w:szCs w:val="16"/>
        </w:rPr>
        <w:t xml:space="preserve"> Cook A, Winter S, Watson K, Wright-Toussaint D, Lin A</w:t>
      </w:r>
      <w:r w:rsidRPr="00644EFF">
        <w:rPr>
          <w:rFonts w:ascii="Arial" w:hAnsi="Arial" w:cs="Arial"/>
          <w:sz w:val="16"/>
          <w:szCs w:val="16"/>
        </w:rPr>
        <w:t xml:space="preserve"> (2017) </w:t>
      </w:r>
      <w:r w:rsidRPr="00562833">
        <w:rPr>
          <w:rFonts w:ascii="Arial" w:hAnsi="Arial" w:cs="Arial"/>
          <w:sz w:val="16"/>
          <w:szCs w:val="16"/>
        </w:rPr>
        <w:t>Trans pathways: the mental health experiences and care pathways of trans young people: summary of results</w:t>
      </w:r>
      <w:r>
        <w:rPr>
          <w:rFonts w:ascii="Arial" w:hAnsi="Arial" w:cs="Arial"/>
          <w:sz w:val="16"/>
          <w:szCs w:val="16"/>
        </w:rPr>
        <w:t>.</w:t>
      </w:r>
      <w:r w:rsidRPr="00644EFF">
        <w:rPr>
          <w:rFonts w:ascii="Arial" w:hAnsi="Arial" w:cs="Arial"/>
          <w:sz w:val="16"/>
          <w:szCs w:val="16"/>
        </w:rPr>
        <w:t xml:space="preserve"> Telethon Kids Institute, Perth.</w:t>
      </w:r>
      <w:r>
        <w:rPr>
          <w:rFonts w:ascii="Arial" w:hAnsi="Arial" w:cs="Arial"/>
          <w:sz w:val="16"/>
          <w:szCs w:val="16"/>
        </w:rPr>
        <w:t xml:space="preserve"> Available from: </w:t>
      </w:r>
      <w:hyperlink r:id="rId71" w:history="1">
        <w:r w:rsidRPr="00562833">
          <w:rPr>
            <w:rStyle w:val="Hyperlink"/>
            <w:rFonts w:ascii="Arial" w:hAnsi="Arial" w:cs="Arial"/>
            <w:sz w:val="16"/>
            <w:szCs w:val="16"/>
          </w:rPr>
          <w:t>URL</w:t>
        </w:r>
      </w:hyperlink>
    </w:p>
  </w:footnote>
  <w:footnote w:id="81">
    <w:p w14:paraId="4445DB6E" w14:textId="00DF1063" w:rsidR="00B208C1" w:rsidRPr="00644EFF" w:rsidRDefault="00B208C1" w:rsidP="00244F71">
      <w:pPr>
        <w:tabs>
          <w:tab w:val="left" w:pos="255"/>
        </w:tabs>
        <w:spacing w:after="40" w:line="240" w:lineRule="auto"/>
        <w:ind w:left="255" w:hanging="255"/>
        <w:rPr>
          <w:rFonts w:ascii="Arial" w:hAnsi="Arial" w:cs="Arial"/>
          <w:sz w:val="16"/>
          <w:szCs w:val="16"/>
        </w:rPr>
      </w:pPr>
      <w:r w:rsidRPr="00644EFF">
        <w:rPr>
          <w:rStyle w:val="FootnoteReference"/>
          <w:rFonts w:ascii="Arial" w:hAnsi="Arial" w:cs="Arial"/>
          <w:sz w:val="18"/>
          <w:szCs w:val="18"/>
        </w:rPr>
        <w:footnoteRef/>
      </w:r>
      <w:r w:rsidRPr="00644EFF">
        <w:rPr>
          <w:rFonts w:ascii="Arial" w:hAnsi="Arial" w:cs="Arial"/>
          <w:sz w:val="16"/>
          <w:szCs w:val="16"/>
        </w:rPr>
        <w:t xml:space="preserve"> </w:t>
      </w:r>
      <w:r w:rsidRPr="00644EFF">
        <w:rPr>
          <w:rFonts w:ascii="Arial" w:hAnsi="Arial" w:cs="Arial"/>
          <w:sz w:val="16"/>
          <w:szCs w:val="16"/>
        </w:rPr>
        <w:tab/>
        <w:t xml:space="preserve">Australian Institute of Family Studies (2017) Fact sheet: Self-harm and suicidal behaviour of young people aged 14-15 years old. Available from: </w:t>
      </w:r>
      <w:hyperlink r:id="rId72" w:history="1">
        <w:r w:rsidRPr="00644EFF">
          <w:rPr>
            <w:rStyle w:val="Hyperlink"/>
            <w:rFonts w:ascii="Arial" w:hAnsi="Arial" w:cs="Arial"/>
            <w:sz w:val="16"/>
            <w:szCs w:val="16"/>
          </w:rPr>
          <w:t>URL</w:t>
        </w:r>
      </w:hyperlink>
    </w:p>
  </w:footnote>
  <w:footnote w:id="82">
    <w:p w14:paraId="46FFF163" w14:textId="33A757D6" w:rsidR="00B208C1" w:rsidRPr="00644EFF" w:rsidRDefault="00B208C1" w:rsidP="00244F71">
      <w:pPr>
        <w:tabs>
          <w:tab w:val="left" w:pos="255"/>
        </w:tabs>
        <w:spacing w:after="40" w:line="240" w:lineRule="auto"/>
        <w:ind w:left="255" w:hanging="255"/>
        <w:rPr>
          <w:rFonts w:ascii="Arial" w:hAnsi="Arial" w:cs="Arial"/>
          <w:sz w:val="16"/>
          <w:szCs w:val="16"/>
        </w:rPr>
      </w:pPr>
      <w:r w:rsidRPr="00644EFF">
        <w:rPr>
          <w:rStyle w:val="FootnoteReference"/>
          <w:rFonts w:ascii="Arial" w:hAnsi="Arial" w:cs="Arial"/>
          <w:sz w:val="18"/>
          <w:szCs w:val="18"/>
        </w:rPr>
        <w:footnoteRef/>
      </w:r>
      <w:r w:rsidRPr="00644EFF">
        <w:rPr>
          <w:rFonts w:ascii="Arial" w:hAnsi="Arial" w:cs="Arial"/>
          <w:sz w:val="16"/>
          <w:szCs w:val="16"/>
        </w:rPr>
        <w:t xml:space="preserve"> </w:t>
      </w:r>
      <w:r w:rsidRPr="00644EFF">
        <w:rPr>
          <w:rFonts w:ascii="Arial" w:hAnsi="Arial" w:cs="Arial"/>
          <w:sz w:val="16"/>
          <w:szCs w:val="16"/>
        </w:rPr>
        <w:tab/>
      </w:r>
      <w:r>
        <w:rPr>
          <w:rFonts w:ascii="Arial" w:hAnsi="Arial" w:cs="Arial"/>
          <w:sz w:val="16"/>
          <w:szCs w:val="16"/>
        </w:rPr>
        <w:t xml:space="preserve">Mottram L (2020) </w:t>
      </w:r>
      <w:r w:rsidRPr="00562833">
        <w:rPr>
          <w:rFonts w:ascii="Arial" w:hAnsi="Arial" w:cs="Arial"/>
          <w:sz w:val="16"/>
          <w:szCs w:val="16"/>
        </w:rPr>
        <w:t>As an AFLW star dies, youth mental health group, Orygen, identifies poor treatment of young women at risk of suicide</w:t>
      </w:r>
      <w:r>
        <w:rPr>
          <w:rFonts w:ascii="Arial" w:hAnsi="Arial" w:cs="Arial"/>
          <w:sz w:val="16"/>
          <w:szCs w:val="16"/>
        </w:rPr>
        <w:t xml:space="preserve"> [Video].</w:t>
      </w:r>
      <w:r w:rsidRPr="00644EFF">
        <w:rPr>
          <w:rFonts w:ascii="Arial" w:hAnsi="Arial" w:cs="Arial"/>
          <w:sz w:val="16"/>
          <w:szCs w:val="16"/>
        </w:rPr>
        <w:t xml:space="preserve"> ABC Online</w:t>
      </w:r>
      <w:r>
        <w:rPr>
          <w:rFonts w:ascii="Arial" w:hAnsi="Arial" w:cs="Arial"/>
          <w:sz w:val="16"/>
          <w:szCs w:val="16"/>
        </w:rPr>
        <w:t xml:space="preserve">. (Oct 15), 1 video (5 min.). Available from: </w:t>
      </w:r>
      <w:hyperlink r:id="rId73" w:history="1">
        <w:r w:rsidRPr="00562833">
          <w:rPr>
            <w:rStyle w:val="Hyperlink"/>
            <w:rFonts w:ascii="Arial" w:hAnsi="Arial" w:cs="Arial"/>
            <w:sz w:val="16"/>
            <w:szCs w:val="16"/>
          </w:rPr>
          <w:t>URL</w:t>
        </w:r>
      </w:hyperlink>
    </w:p>
  </w:footnote>
  <w:footnote w:id="83">
    <w:p w14:paraId="63DC486A" w14:textId="2B1B7B35" w:rsidR="00B208C1" w:rsidRPr="00644EFF" w:rsidRDefault="00B208C1" w:rsidP="00244F71">
      <w:pPr>
        <w:pStyle w:val="FootnoteText"/>
        <w:tabs>
          <w:tab w:val="left" w:pos="255"/>
        </w:tabs>
        <w:spacing w:after="40"/>
        <w:ind w:left="255" w:hanging="255"/>
        <w:rPr>
          <w:rFonts w:cs="Arial"/>
          <w:sz w:val="16"/>
          <w:szCs w:val="16"/>
        </w:rPr>
      </w:pPr>
      <w:r w:rsidRPr="00644EFF">
        <w:rPr>
          <w:rStyle w:val="FootnoteReference"/>
          <w:rFonts w:cs="Arial"/>
          <w:sz w:val="18"/>
          <w:szCs w:val="18"/>
        </w:rPr>
        <w:footnoteRef/>
      </w:r>
      <w:r w:rsidRPr="00644EFF">
        <w:rPr>
          <w:rFonts w:cs="Arial"/>
          <w:sz w:val="18"/>
          <w:szCs w:val="18"/>
        </w:rPr>
        <w:t xml:space="preserve"> </w:t>
      </w:r>
      <w:r w:rsidRPr="00644EFF">
        <w:rPr>
          <w:rFonts w:cs="Arial"/>
          <w:sz w:val="16"/>
          <w:szCs w:val="16"/>
        </w:rPr>
        <w:tab/>
      </w:r>
      <w:r>
        <w:rPr>
          <w:rFonts w:cs="Arial"/>
          <w:sz w:val="16"/>
          <w:szCs w:val="16"/>
        </w:rPr>
        <w:t xml:space="preserve">Orygen (2019) </w:t>
      </w:r>
      <w:r w:rsidRPr="00821ED9">
        <w:rPr>
          <w:rFonts w:cs="Arial"/>
          <w:sz w:val="16"/>
          <w:szCs w:val="16"/>
        </w:rPr>
        <w:t>Examining emergency department practices for young people who self-harm</w:t>
      </w:r>
      <w:r>
        <w:rPr>
          <w:rFonts w:cs="Arial"/>
          <w:sz w:val="16"/>
          <w:szCs w:val="16"/>
        </w:rPr>
        <w:t>.</w:t>
      </w:r>
      <w:r w:rsidRPr="00644EFF">
        <w:rPr>
          <w:rFonts w:cs="Arial"/>
          <w:sz w:val="16"/>
          <w:szCs w:val="16"/>
        </w:rPr>
        <w:t xml:space="preserve"> </w:t>
      </w:r>
      <w:r w:rsidRPr="00821ED9">
        <w:rPr>
          <w:rFonts w:cs="Arial"/>
          <w:i/>
          <w:iCs/>
          <w:sz w:val="16"/>
          <w:szCs w:val="16"/>
        </w:rPr>
        <w:t>Orygen Media Release</w:t>
      </w:r>
      <w:r>
        <w:rPr>
          <w:rFonts w:cs="Arial"/>
          <w:sz w:val="16"/>
          <w:szCs w:val="16"/>
        </w:rPr>
        <w:t xml:space="preserve">. (May 1). Available from: </w:t>
      </w:r>
      <w:hyperlink r:id="rId74" w:history="1">
        <w:r w:rsidRPr="00821ED9">
          <w:rPr>
            <w:rStyle w:val="Hyperlink"/>
            <w:rFonts w:cs="Arial"/>
            <w:sz w:val="16"/>
            <w:szCs w:val="16"/>
          </w:rPr>
          <w:t>URL</w:t>
        </w:r>
      </w:hyperlink>
      <w:r>
        <w:rPr>
          <w:rFonts w:cs="Arial"/>
          <w:sz w:val="16"/>
          <w:szCs w:val="16"/>
        </w:rPr>
        <w:t xml:space="preserve">; </w:t>
      </w:r>
      <w:r w:rsidRPr="00644EFF">
        <w:rPr>
          <w:rFonts w:cs="Arial"/>
          <w:sz w:val="16"/>
          <w:szCs w:val="16"/>
        </w:rPr>
        <w:t xml:space="preserve">as reported in </w:t>
      </w:r>
      <w:r>
        <w:rPr>
          <w:rFonts w:cs="Arial"/>
          <w:sz w:val="16"/>
          <w:szCs w:val="16"/>
        </w:rPr>
        <w:t xml:space="preserve">Mottram L (2020) </w:t>
      </w:r>
      <w:r w:rsidRPr="00562833">
        <w:rPr>
          <w:rFonts w:cs="Arial"/>
          <w:sz w:val="16"/>
          <w:szCs w:val="16"/>
        </w:rPr>
        <w:t>As an AFLW star dies, youth mental health group, Orygen, identifies poor treatment of young women at risk of suicide</w:t>
      </w:r>
      <w:r>
        <w:rPr>
          <w:rFonts w:cs="Arial"/>
          <w:sz w:val="16"/>
          <w:szCs w:val="16"/>
        </w:rPr>
        <w:t xml:space="preserve"> [Video].</w:t>
      </w:r>
      <w:r w:rsidRPr="00644EFF">
        <w:rPr>
          <w:rFonts w:cs="Arial"/>
          <w:sz w:val="16"/>
          <w:szCs w:val="16"/>
        </w:rPr>
        <w:t xml:space="preserve"> ABC Online</w:t>
      </w:r>
      <w:r>
        <w:rPr>
          <w:rFonts w:cs="Arial"/>
          <w:sz w:val="16"/>
          <w:szCs w:val="16"/>
        </w:rPr>
        <w:t xml:space="preserve">. (Oct 15), 1 video (5 min.). Available from: </w:t>
      </w:r>
      <w:hyperlink r:id="rId75" w:history="1">
        <w:r w:rsidRPr="00562833">
          <w:rPr>
            <w:rStyle w:val="Hyperlink"/>
            <w:rFonts w:cs="Arial"/>
            <w:sz w:val="16"/>
            <w:szCs w:val="16"/>
          </w:rPr>
          <w:t>URL</w:t>
        </w:r>
      </w:hyperlink>
    </w:p>
  </w:footnote>
  <w:footnote w:id="84">
    <w:p w14:paraId="14D30877" w14:textId="4E0CEF94" w:rsidR="00B208C1" w:rsidRPr="00644EFF" w:rsidRDefault="00B208C1" w:rsidP="00244F71">
      <w:pPr>
        <w:tabs>
          <w:tab w:val="left" w:pos="255"/>
          <w:tab w:val="left" w:pos="432"/>
        </w:tabs>
        <w:spacing w:after="40" w:line="240" w:lineRule="auto"/>
        <w:ind w:left="255" w:hanging="255"/>
        <w:rPr>
          <w:rFonts w:ascii="Arial" w:hAnsi="Arial" w:cs="Arial"/>
          <w:sz w:val="16"/>
          <w:szCs w:val="16"/>
        </w:rPr>
      </w:pPr>
      <w:r w:rsidRPr="00644EFF">
        <w:rPr>
          <w:rStyle w:val="FootnoteReference"/>
          <w:rFonts w:ascii="Arial" w:hAnsi="Arial" w:cs="Arial"/>
          <w:sz w:val="18"/>
          <w:szCs w:val="18"/>
        </w:rPr>
        <w:footnoteRef/>
      </w:r>
      <w:r w:rsidRPr="00644EFF">
        <w:rPr>
          <w:rFonts w:ascii="Arial" w:hAnsi="Arial" w:cs="Arial"/>
          <w:sz w:val="18"/>
          <w:szCs w:val="18"/>
        </w:rPr>
        <w:t xml:space="preserve"> </w:t>
      </w:r>
      <w:r w:rsidRPr="00644EFF">
        <w:rPr>
          <w:rFonts w:ascii="Arial" w:hAnsi="Arial" w:cs="Arial"/>
          <w:sz w:val="16"/>
          <w:szCs w:val="16"/>
        </w:rPr>
        <w:tab/>
        <w:t xml:space="preserve">NHMRC Centre of Research Excellence in Suicide Prevention (2015) </w:t>
      </w:r>
      <w:r w:rsidRPr="00821ED9">
        <w:rPr>
          <w:rFonts w:ascii="Arial" w:hAnsi="Arial" w:cs="Arial"/>
          <w:sz w:val="16"/>
          <w:szCs w:val="16"/>
        </w:rPr>
        <w:t>Care after a suicide attempt</w:t>
      </w:r>
      <w:r>
        <w:rPr>
          <w:rFonts w:ascii="Arial" w:hAnsi="Arial" w:cs="Arial"/>
          <w:sz w:val="16"/>
          <w:szCs w:val="16"/>
        </w:rPr>
        <w:t>.</w:t>
      </w:r>
      <w:r w:rsidRPr="00644EFF">
        <w:rPr>
          <w:rFonts w:ascii="Arial" w:hAnsi="Arial" w:cs="Arial"/>
          <w:sz w:val="16"/>
          <w:szCs w:val="16"/>
        </w:rPr>
        <w:t xml:space="preserve"> Australia. National Mental Health Commission, Sydney.</w:t>
      </w:r>
      <w:r>
        <w:rPr>
          <w:rFonts w:ascii="Arial" w:hAnsi="Arial" w:cs="Arial"/>
          <w:sz w:val="16"/>
          <w:szCs w:val="16"/>
        </w:rPr>
        <w:t xml:space="preserve"> Available from: </w:t>
      </w:r>
      <w:hyperlink r:id="rId76" w:history="1">
        <w:r w:rsidRPr="00821ED9">
          <w:rPr>
            <w:rStyle w:val="Hyperlink"/>
            <w:rFonts w:ascii="Arial" w:hAnsi="Arial" w:cs="Arial"/>
            <w:sz w:val="16"/>
            <w:szCs w:val="16"/>
          </w:rPr>
          <w:t>URL</w:t>
        </w:r>
      </w:hyperlink>
    </w:p>
  </w:footnote>
  <w:footnote w:id="85">
    <w:p w14:paraId="7EF87DAA" w14:textId="0408D833" w:rsidR="00B208C1" w:rsidRPr="00E55D6D" w:rsidRDefault="00B208C1" w:rsidP="00244F71">
      <w:pPr>
        <w:tabs>
          <w:tab w:val="left" w:pos="255"/>
          <w:tab w:val="left" w:pos="340"/>
        </w:tabs>
        <w:spacing w:after="40" w:line="240" w:lineRule="auto"/>
        <w:ind w:left="255" w:hanging="255"/>
        <w:jc w:val="both"/>
        <w:rPr>
          <w:rFonts w:ascii="Arial" w:hAnsi="Arial" w:cs="Arial"/>
          <w:sz w:val="16"/>
          <w:szCs w:val="16"/>
        </w:rPr>
      </w:pPr>
      <w:r w:rsidRPr="00E55D6D">
        <w:rPr>
          <w:rStyle w:val="FootnoteReference"/>
          <w:rFonts w:ascii="Arial" w:hAnsi="Arial" w:cs="Arial"/>
          <w:sz w:val="18"/>
          <w:szCs w:val="18"/>
        </w:rPr>
        <w:footnoteRef/>
      </w:r>
      <w:r w:rsidRPr="00E55D6D">
        <w:rPr>
          <w:rFonts w:ascii="Arial" w:hAnsi="Arial" w:cs="Arial"/>
          <w:sz w:val="18"/>
          <w:szCs w:val="18"/>
        </w:rPr>
        <w:t xml:space="preserve"> </w:t>
      </w:r>
      <w:r w:rsidRPr="00E55D6D">
        <w:rPr>
          <w:rFonts w:ascii="Arial" w:hAnsi="Arial" w:cs="Arial"/>
          <w:sz w:val="16"/>
          <w:szCs w:val="16"/>
        </w:rPr>
        <w:tab/>
      </w:r>
      <w:r w:rsidRPr="002861DC">
        <w:rPr>
          <w:rFonts w:ascii="Arial" w:hAnsi="Arial" w:cs="Arial"/>
          <w:sz w:val="16"/>
          <w:szCs w:val="16"/>
        </w:rPr>
        <w:t>Quadara A (2015). Implementing trauma-informed systems of care in health settings: The WITH study: State of knowledge paper. Australia’s National Research Organisation for Women’s Safety. Sydney.</w:t>
      </w:r>
      <w:r>
        <w:rPr>
          <w:rFonts w:ascii="Arial" w:hAnsi="Arial" w:cs="Arial"/>
          <w:sz w:val="16"/>
          <w:szCs w:val="16"/>
        </w:rPr>
        <w:t xml:space="preserve"> - </w:t>
      </w:r>
      <w:r w:rsidRPr="002861DC">
        <w:rPr>
          <w:rFonts w:ascii="Arial" w:hAnsi="Arial" w:cs="Arial"/>
          <w:sz w:val="16"/>
          <w:szCs w:val="16"/>
        </w:rPr>
        <w:t>(</w:t>
      </w:r>
      <w:r w:rsidRPr="002861DC">
        <w:rPr>
          <w:rFonts w:ascii="Arial" w:hAnsi="Arial" w:cs="Arial"/>
          <w:i/>
          <w:iCs/>
          <w:sz w:val="16"/>
          <w:szCs w:val="16"/>
        </w:rPr>
        <w:t>ANROWS Landscapes</w:t>
      </w:r>
      <w:r w:rsidRPr="002861DC">
        <w:rPr>
          <w:rFonts w:ascii="Arial" w:hAnsi="Arial" w:cs="Arial"/>
          <w:sz w:val="16"/>
          <w:szCs w:val="16"/>
        </w:rPr>
        <w:t>, 10/2015)</w:t>
      </w:r>
      <w:r>
        <w:rPr>
          <w:rFonts w:ascii="Arial" w:hAnsi="Arial" w:cs="Arial"/>
          <w:sz w:val="16"/>
          <w:szCs w:val="16"/>
        </w:rPr>
        <w:t xml:space="preserve">. Available from: </w:t>
      </w:r>
      <w:hyperlink r:id="rId77" w:history="1">
        <w:r w:rsidRPr="002861DC">
          <w:rPr>
            <w:rStyle w:val="Hyperlink"/>
            <w:rFonts w:ascii="Arial" w:hAnsi="Arial" w:cs="Arial"/>
            <w:sz w:val="16"/>
            <w:szCs w:val="16"/>
          </w:rPr>
          <w:t>URL</w:t>
        </w:r>
      </w:hyperlink>
    </w:p>
  </w:footnote>
  <w:footnote w:id="86">
    <w:p w14:paraId="1DF9EB0E" w14:textId="767D51A5" w:rsidR="00B208C1" w:rsidRPr="00E55D6D" w:rsidRDefault="00B208C1" w:rsidP="00244F71">
      <w:pPr>
        <w:tabs>
          <w:tab w:val="left" w:pos="255"/>
          <w:tab w:val="left" w:pos="288"/>
        </w:tabs>
        <w:spacing w:after="40" w:line="240" w:lineRule="auto"/>
        <w:ind w:left="255" w:hanging="255"/>
        <w:jc w:val="both"/>
        <w:rPr>
          <w:rFonts w:ascii="Arial" w:hAnsi="Arial" w:cs="Arial"/>
          <w:sz w:val="16"/>
          <w:szCs w:val="16"/>
        </w:rPr>
      </w:pPr>
      <w:r w:rsidRPr="00E55D6D">
        <w:rPr>
          <w:rStyle w:val="FootnoteReference"/>
          <w:rFonts w:ascii="Arial" w:hAnsi="Arial" w:cs="Arial"/>
          <w:sz w:val="18"/>
          <w:szCs w:val="18"/>
        </w:rPr>
        <w:footnoteRef/>
      </w:r>
      <w:r w:rsidRPr="00E55D6D">
        <w:rPr>
          <w:rFonts w:ascii="Arial" w:hAnsi="Arial" w:cs="Arial"/>
          <w:sz w:val="18"/>
          <w:szCs w:val="18"/>
        </w:rPr>
        <w:t xml:space="preserve"> </w:t>
      </w:r>
      <w:r w:rsidRPr="00E55D6D">
        <w:rPr>
          <w:rFonts w:ascii="Arial" w:hAnsi="Arial" w:cs="Arial"/>
          <w:sz w:val="16"/>
          <w:szCs w:val="16"/>
        </w:rPr>
        <w:tab/>
      </w:r>
      <w:r w:rsidRPr="00E55D6D">
        <w:rPr>
          <w:rFonts w:ascii="Arial" w:hAnsi="Arial" w:cs="Arial"/>
          <w:sz w:val="16"/>
          <w:szCs w:val="16"/>
        </w:rPr>
        <w:fldChar w:fldCharType="begin"/>
      </w:r>
      <w:r w:rsidRPr="00E55D6D">
        <w:rPr>
          <w:rFonts w:ascii="Arial" w:hAnsi="Arial" w:cs="Arial"/>
          <w:sz w:val="16"/>
          <w:szCs w:val="16"/>
        </w:rPr>
        <w:instrText xml:space="preserve"> ADDIN EN.CITE &lt;EndNote&gt;&lt;Cite&gt;&lt;Author&gt;FVPLS Victoria&lt;/Author&gt;&lt;Year&gt;2016&lt;/Year&gt;&lt;RecNum&gt;768&lt;/RecNum&gt;&lt;DisplayText&gt;FVPLS Victoria (2016) A Victorian Government gender equality strategy : submission by FVPLS Victoria&lt;/DisplayText&gt;&lt;record&gt;&lt;rec-number&gt;768&lt;/rec-number&gt;&lt;foreign-keys&gt;&lt;key app="EN" db-id="ssa09sw2ttazvjex2225xtt350ewfx2vadfs"&gt;768&lt;/key&gt;&lt;/foreign-keys&gt;&lt;ref-type name="Book"&gt;6&lt;/ref-type&gt;&lt;contributors&gt;&lt;authors&gt;&lt;author&gt;FVPLS Victoria,&lt;/author&gt;&lt;/authors&gt;&lt;/contributors&gt;&lt;titles&gt;&lt;title&gt;A Victorian Government gender equality strategy : submission by FVPLS Victoria&lt;/title&gt;&lt;/titles&gt;&lt;dates&gt;&lt;year&gt;2016&lt;/year&gt;&lt;/dates&gt;&lt;pub-location&gt;Abbotsford, Vic.&lt;/pub-location&gt;&lt;publisher&gt;Aboriginal Family Violence Prevention and Legal Service Victoria (FVPLS Victoria) &lt;/publisher&gt;&lt;urls&gt;&lt;related-urls&gt;&lt;url&gt;http://www.fvpls.org/images/files/Submission%20A%20Victorian%20Gender%20Equality%20Strategy%20FVPLS%20Victoria%20FINAL.pdf&lt;/url&gt;&lt;/related-urls&gt;&lt;/urls&gt;&lt;/record&gt;&lt;/Cite&gt;&lt;/EndNote&gt;</w:instrText>
      </w:r>
      <w:r w:rsidRPr="00E55D6D">
        <w:rPr>
          <w:rFonts w:ascii="Arial" w:hAnsi="Arial" w:cs="Arial"/>
          <w:sz w:val="16"/>
          <w:szCs w:val="16"/>
        </w:rPr>
        <w:fldChar w:fldCharType="separate"/>
      </w:r>
      <w:r w:rsidRPr="00980EE0">
        <w:rPr>
          <w:rFonts w:ascii="Arial" w:hAnsi="Arial" w:cs="Arial"/>
          <w:sz w:val="16"/>
          <w:szCs w:val="16"/>
        </w:rPr>
        <w:t>Aboriginal Family Violence Prevention and Legal Service Victoria</w:t>
      </w:r>
      <w:r w:rsidRPr="00E55D6D">
        <w:rPr>
          <w:rFonts w:ascii="Arial" w:hAnsi="Arial" w:cs="Arial"/>
          <w:noProof/>
          <w:sz w:val="16"/>
          <w:szCs w:val="16"/>
        </w:rPr>
        <w:t xml:space="preserve"> (2016) A Victorian Government gender equality strategy: submission by FVPLS Victoria</w:t>
      </w:r>
      <w:r w:rsidRPr="00E55D6D">
        <w:rPr>
          <w:rFonts w:ascii="Arial" w:hAnsi="Arial" w:cs="Arial"/>
          <w:sz w:val="16"/>
          <w:szCs w:val="16"/>
        </w:rPr>
        <w:fldChar w:fldCharType="end"/>
      </w:r>
      <w:r>
        <w:rPr>
          <w:rFonts w:ascii="Arial" w:hAnsi="Arial" w:cs="Arial"/>
          <w:sz w:val="16"/>
          <w:szCs w:val="16"/>
        </w:rPr>
        <w:t>. FVPLS Victoria, Footscray, Vic.</w:t>
      </w:r>
      <w:r w:rsidRPr="00E55D6D">
        <w:rPr>
          <w:rFonts w:ascii="Arial" w:hAnsi="Arial" w:cs="Arial"/>
          <w:sz w:val="16"/>
          <w:szCs w:val="16"/>
        </w:rPr>
        <w:t xml:space="preserve">, p. 15. Available from: </w:t>
      </w:r>
      <w:hyperlink r:id="rId78" w:history="1">
        <w:r w:rsidRPr="00E55D6D">
          <w:rPr>
            <w:rStyle w:val="Hyperlink"/>
            <w:rFonts w:ascii="Arial" w:hAnsi="Arial" w:cs="Arial"/>
            <w:sz w:val="16"/>
            <w:szCs w:val="16"/>
          </w:rPr>
          <w:t>URL</w:t>
        </w:r>
      </w:hyperlink>
    </w:p>
  </w:footnote>
  <w:footnote w:id="87">
    <w:p w14:paraId="17BB3B26" w14:textId="27F54452" w:rsidR="00B208C1" w:rsidRPr="00E55D6D" w:rsidRDefault="00B208C1" w:rsidP="00244F71">
      <w:pPr>
        <w:pStyle w:val="FootnoteText"/>
        <w:tabs>
          <w:tab w:val="left" w:pos="255"/>
          <w:tab w:val="left" w:pos="288"/>
        </w:tabs>
        <w:spacing w:after="40"/>
        <w:ind w:left="255" w:hanging="255"/>
        <w:jc w:val="both"/>
        <w:rPr>
          <w:rFonts w:cs="Arial"/>
          <w:sz w:val="16"/>
          <w:szCs w:val="16"/>
        </w:rPr>
      </w:pPr>
      <w:r w:rsidRPr="00E55D6D">
        <w:rPr>
          <w:rStyle w:val="FootnoteReference"/>
          <w:rFonts w:cs="Arial"/>
          <w:sz w:val="18"/>
          <w:szCs w:val="18"/>
        </w:rPr>
        <w:footnoteRef/>
      </w:r>
      <w:r w:rsidRPr="00E55D6D">
        <w:rPr>
          <w:rFonts w:cs="Arial"/>
          <w:sz w:val="16"/>
          <w:szCs w:val="16"/>
        </w:rPr>
        <w:t xml:space="preserve"> </w:t>
      </w:r>
      <w:r w:rsidRPr="00E55D6D">
        <w:rPr>
          <w:rFonts w:cs="Arial"/>
          <w:sz w:val="16"/>
          <w:szCs w:val="16"/>
        </w:rPr>
        <w:tab/>
      </w:r>
      <w:r w:rsidRPr="00E55D6D">
        <w:rPr>
          <w:rFonts w:cs="Arial"/>
          <w:sz w:val="16"/>
          <w:szCs w:val="16"/>
        </w:rPr>
        <w:fldChar w:fldCharType="begin"/>
      </w:r>
      <w:r w:rsidRPr="00E55D6D">
        <w:rPr>
          <w:rFonts w:cs="Arial"/>
          <w:sz w:val="16"/>
          <w:szCs w:val="16"/>
        </w:rPr>
        <w:instrText xml:space="preserve"> ADDIN EN.CITE &lt;EndNote&gt;&lt;Cite&gt;&lt;Author&gt;University of Western Australia. School of Indigenous Studies&lt;/Author&gt;&lt;RecNum&gt;767&lt;/RecNum&gt;&lt;DisplayText&gt;University of Western Australia. School of Indigenous Studies  Solutions that work : what the evidence and our people tell us : Aboriginal and Torres Strait Islander Suicide Prevention Evaluation Project Report [ATSISPEP Report]&lt;/DisplayText&gt;&lt;record&gt;&lt;rec-number&gt;767&lt;/rec-number&gt;&lt;foreign-keys&gt;&lt;key app="EN" db-id="ssa09sw2ttazvjex2225xtt350ewfx2vadfs"&gt;767&lt;/key&gt;&lt;/foreign-keys&gt;&lt;ref-type name="Book"&gt;6&lt;/ref-type&gt;&lt;contributors&gt;&lt;authors&gt;&lt;author&gt;University of Western Australia. School of Indigenous Studies,&lt;/author&gt;&lt;/authors&gt;&lt;/contributors&gt;&lt;titles&gt;&lt;title&gt;Solutions that work : what the evidence and our people tell us : Aboriginal and Torres Strait Islander Suicide Prevention Evaluation Project Report [ATSISPEP Report]&lt;/title&gt;&lt;/titles&gt;&lt;dates&gt;&lt;/dates&gt;&lt;pub-location&gt;Nedlands, W.A.&lt;/pub-location&gt;&lt;publisher&gt;University of Western Australia. School of Indigenous Studies&lt;/publisher&gt;&lt;urls&gt;&lt;related-urls&gt;&lt;url&gt;https://www.dpmc.gov.au/resource-centre/indigenous-affairs/solutions-work-what-evidence-and-our-people-tell-us&lt;/url&gt;&lt;/related-urls&gt;&lt;/urls&gt;&lt;/record&gt;&lt;/Cite&gt;&lt;/EndNote&gt;</w:instrText>
      </w:r>
      <w:r w:rsidRPr="00E55D6D">
        <w:rPr>
          <w:rFonts w:cs="Arial"/>
          <w:sz w:val="16"/>
          <w:szCs w:val="16"/>
        </w:rPr>
        <w:fldChar w:fldCharType="separate"/>
      </w:r>
      <w:r w:rsidRPr="00E55D6D">
        <w:rPr>
          <w:rFonts w:cs="Arial"/>
          <w:noProof/>
          <w:sz w:val="16"/>
          <w:szCs w:val="16"/>
        </w:rPr>
        <w:t>U</w:t>
      </w:r>
      <w:r>
        <w:rPr>
          <w:rFonts w:cs="Arial"/>
          <w:noProof/>
          <w:sz w:val="16"/>
          <w:szCs w:val="16"/>
        </w:rPr>
        <w:t xml:space="preserve">WA. </w:t>
      </w:r>
      <w:r w:rsidRPr="00E55D6D">
        <w:rPr>
          <w:rFonts w:cs="Arial"/>
          <w:noProof/>
          <w:sz w:val="16"/>
          <w:szCs w:val="16"/>
        </w:rPr>
        <w:t>School of Indigenous Studies</w:t>
      </w:r>
      <w:r>
        <w:rPr>
          <w:rFonts w:cs="Arial"/>
          <w:noProof/>
          <w:sz w:val="16"/>
          <w:szCs w:val="16"/>
        </w:rPr>
        <w:t xml:space="preserve"> (2016)</w:t>
      </w:r>
      <w:r w:rsidRPr="00E55D6D">
        <w:rPr>
          <w:rFonts w:cs="Arial"/>
          <w:noProof/>
          <w:sz w:val="16"/>
          <w:szCs w:val="16"/>
        </w:rPr>
        <w:t xml:space="preserve"> Solutions that work: what the evidence and our people tell us: Aboriginal and Torres Strait Islander Suicide Prevention Evaluation Project Report [ATSISPEP Report]</w:t>
      </w:r>
      <w:r w:rsidRPr="00E55D6D">
        <w:rPr>
          <w:rFonts w:cs="Arial"/>
          <w:sz w:val="16"/>
          <w:szCs w:val="16"/>
        </w:rPr>
        <w:fldChar w:fldCharType="end"/>
      </w:r>
      <w:r>
        <w:rPr>
          <w:rFonts w:cs="Arial"/>
          <w:sz w:val="16"/>
          <w:szCs w:val="16"/>
        </w:rPr>
        <w:t>. University of Western Australia, Crawley, WA</w:t>
      </w:r>
      <w:r w:rsidRPr="00E55D6D">
        <w:rPr>
          <w:rFonts w:cs="Arial"/>
          <w:sz w:val="16"/>
          <w:szCs w:val="16"/>
        </w:rPr>
        <w:t xml:space="preserve">, p. 56. Available from: </w:t>
      </w:r>
      <w:hyperlink r:id="rId79" w:history="1">
        <w:r w:rsidRPr="00E55D6D">
          <w:rPr>
            <w:rStyle w:val="Hyperlink"/>
            <w:rFonts w:cs="Arial"/>
            <w:sz w:val="16"/>
            <w:szCs w:val="16"/>
          </w:rPr>
          <w:t>URL</w:t>
        </w:r>
      </w:hyperlink>
    </w:p>
  </w:footnote>
  <w:footnote w:id="88">
    <w:p w14:paraId="04D8EA17" w14:textId="3A1F614C" w:rsidR="00B208C1" w:rsidRPr="00E55D6D" w:rsidRDefault="00B208C1" w:rsidP="00244F71">
      <w:pPr>
        <w:pStyle w:val="FootnoteText"/>
        <w:tabs>
          <w:tab w:val="left" w:pos="255"/>
          <w:tab w:val="left" w:pos="289"/>
        </w:tabs>
        <w:spacing w:after="40"/>
        <w:ind w:left="255" w:hanging="255"/>
        <w:jc w:val="both"/>
        <w:rPr>
          <w:rFonts w:cs="Arial"/>
          <w:sz w:val="16"/>
          <w:szCs w:val="16"/>
        </w:rPr>
      </w:pPr>
      <w:r w:rsidRPr="00E55D6D">
        <w:rPr>
          <w:rStyle w:val="FootnoteReference"/>
          <w:rFonts w:cs="Arial"/>
          <w:sz w:val="18"/>
          <w:szCs w:val="18"/>
        </w:rPr>
        <w:footnoteRef/>
      </w:r>
      <w:r w:rsidRPr="00E55D6D">
        <w:rPr>
          <w:rFonts w:cs="Arial"/>
          <w:sz w:val="18"/>
          <w:szCs w:val="18"/>
        </w:rPr>
        <w:t xml:space="preserve"> </w:t>
      </w:r>
      <w:r w:rsidRPr="00E55D6D">
        <w:rPr>
          <w:rFonts w:cs="Arial"/>
          <w:sz w:val="16"/>
          <w:szCs w:val="16"/>
        </w:rPr>
        <w:tab/>
      </w:r>
      <w:r w:rsidRPr="00E55D6D">
        <w:rPr>
          <w:rFonts w:cs="Arial"/>
          <w:sz w:val="16"/>
          <w:szCs w:val="16"/>
        </w:rPr>
        <w:fldChar w:fldCharType="begin"/>
      </w:r>
      <w:r w:rsidRPr="00E55D6D">
        <w:rPr>
          <w:rFonts w:cs="Arial"/>
          <w:sz w:val="16"/>
          <w:szCs w:val="16"/>
        </w:rPr>
        <w:instrText xml:space="preserve"> ADDIN EN.CITE &lt;EndNote&gt;&lt;Cite&gt;&lt;Author&gt;Eating Disorders Victoria&lt;/Author&gt;&lt;Year&gt;2015&lt;/Year&gt;&lt;RecNum&gt;836&lt;/RecNum&gt;&lt;DisplayText&gt;Eating Disorders Victoria (2015) Risk factors&lt;/DisplayText&gt;&lt;record&gt;&lt;rec-number&gt;836&lt;/rec-number&gt;&lt;foreign-keys&gt;&lt;key app="EN" db-id="ssa09sw2ttazvjex2225xtt350ewfx2vadfs"&gt;836&lt;/key&gt;&lt;/foreign-keys&gt;&lt;ref-type name="Book"&gt;6&lt;/ref-type&gt;&lt;contributors&gt;&lt;authors&gt;&lt;author&gt;Eating Disorders Victoria,&lt;/author&gt;&lt;/authors&gt;&lt;/contributors&gt;&lt;titles&gt;&lt;title&gt;Risk factors&lt;/title&gt;&lt;/titles&gt;&lt;dates&gt;&lt;year&gt;2015&lt;/year&gt;&lt;/dates&gt;&lt;pub-location&gt;Abbotsford, Vic.&lt;/pub-location&gt;&lt;publisher&gt;Eating Disorders Victoria&lt;/publisher&gt;&lt;urls&gt;&lt;related-urls&gt;&lt;url&gt;http://www.eatingdisorders.org.au/eating-disorders/what-is-an-eating-disorder/risk-factors&lt;/url&gt;&lt;/related-urls&gt;&lt;/urls&gt;&lt;/record&gt;&lt;/Cite&gt;&lt;/EndNote&gt;</w:instrText>
      </w:r>
      <w:r w:rsidRPr="00E55D6D">
        <w:rPr>
          <w:rFonts w:cs="Arial"/>
          <w:sz w:val="16"/>
          <w:szCs w:val="16"/>
        </w:rPr>
        <w:fldChar w:fldCharType="separate"/>
      </w:r>
      <w:r w:rsidRPr="00E55D6D">
        <w:rPr>
          <w:rFonts w:cs="Arial"/>
          <w:noProof/>
          <w:sz w:val="16"/>
          <w:szCs w:val="16"/>
        </w:rPr>
        <w:t>Eating Disorders Victoria (2015) Risk factors</w:t>
      </w:r>
      <w:r w:rsidRPr="00E55D6D">
        <w:rPr>
          <w:rFonts w:cs="Arial"/>
          <w:sz w:val="16"/>
          <w:szCs w:val="16"/>
        </w:rPr>
        <w:fldChar w:fldCharType="end"/>
      </w:r>
      <w:r w:rsidRPr="00E55D6D">
        <w:rPr>
          <w:rFonts w:cs="Arial"/>
          <w:sz w:val="16"/>
          <w:szCs w:val="16"/>
        </w:rPr>
        <w:t>. EDV</w:t>
      </w:r>
      <w:r>
        <w:rPr>
          <w:rFonts w:cs="Arial"/>
          <w:sz w:val="16"/>
          <w:szCs w:val="16"/>
        </w:rPr>
        <w:t>,</w:t>
      </w:r>
      <w:r w:rsidRPr="00E55D6D">
        <w:rPr>
          <w:rFonts w:cs="Arial"/>
          <w:sz w:val="16"/>
          <w:szCs w:val="16"/>
        </w:rPr>
        <w:t xml:space="preserve"> Abbotsford, Vic. Available from: </w:t>
      </w:r>
      <w:hyperlink r:id="rId80" w:history="1">
        <w:r>
          <w:rPr>
            <w:rStyle w:val="Hyperlink"/>
            <w:rFonts w:cs="Arial"/>
            <w:sz w:val="16"/>
            <w:szCs w:val="16"/>
          </w:rPr>
          <w:t>URL</w:t>
        </w:r>
      </w:hyperlink>
      <w:r w:rsidRPr="00E55D6D">
        <w:rPr>
          <w:rFonts w:cs="Arial"/>
          <w:sz w:val="16"/>
          <w:szCs w:val="16"/>
        </w:rPr>
        <w:t xml:space="preserve"> </w:t>
      </w:r>
    </w:p>
  </w:footnote>
  <w:footnote w:id="89">
    <w:p w14:paraId="10991A33" w14:textId="31F76FDC" w:rsidR="00B208C1" w:rsidRPr="00E55D6D" w:rsidRDefault="00B208C1" w:rsidP="00244F71">
      <w:pPr>
        <w:pStyle w:val="FootnoteText"/>
        <w:tabs>
          <w:tab w:val="left" w:pos="255"/>
          <w:tab w:val="left" w:pos="289"/>
        </w:tabs>
        <w:spacing w:after="40"/>
        <w:ind w:left="255" w:hanging="255"/>
        <w:jc w:val="both"/>
        <w:rPr>
          <w:rFonts w:cs="Arial"/>
          <w:sz w:val="16"/>
          <w:szCs w:val="16"/>
        </w:rPr>
      </w:pPr>
      <w:r w:rsidRPr="00E55D6D">
        <w:rPr>
          <w:rStyle w:val="FootnoteReference"/>
          <w:rFonts w:cs="Arial"/>
          <w:sz w:val="18"/>
          <w:szCs w:val="18"/>
        </w:rPr>
        <w:footnoteRef/>
      </w:r>
      <w:r w:rsidRPr="00E55D6D">
        <w:rPr>
          <w:rFonts w:cs="Arial"/>
          <w:sz w:val="18"/>
          <w:szCs w:val="18"/>
        </w:rPr>
        <w:t xml:space="preserve"> </w:t>
      </w:r>
      <w:r w:rsidRPr="00E55D6D">
        <w:rPr>
          <w:rFonts w:cs="Arial"/>
          <w:sz w:val="16"/>
          <w:szCs w:val="16"/>
        </w:rPr>
        <w:tab/>
      </w:r>
      <w:r w:rsidRPr="00E55D6D">
        <w:rPr>
          <w:rFonts w:cs="Arial"/>
          <w:sz w:val="16"/>
          <w:szCs w:val="16"/>
        </w:rPr>
        <w:fldChar w:fldCharType="begin"/>
      </w:r>
      <w:r w:rsidRPr="00E55D6D">
        <w:rPr>
          <w:rFonts w:cs="Arial"/>
          <w:sz w:val="16"/>
          <w:szCs w:val="16"/>
        </w:rPr>
        <w:instrText xml:space="preserve"> ADDIN EN.CITE &lt;EndNote&gt;&lt;Cite&gt;&lt;Author&gt;Treasure&lt;/Author&gt;&lt;Year&gt;2010&lt;/Year&gt;&lt;RecNum&gt;837&lt;/RecNum&gt;&lt;DisplayText&gt;Treasure, Claudino and Zucker (2010) Eating disorders. &lt;style face="italic"&gt;Lancet&lt;/style&gt;. 375 (9714):583-93&lt;/DisplayText&gt;&lt;record&gt;&lt;rec-number&gt;837&lt;/rec-number&gt;&lt;foreign-keys&gt;&lt;key app="EN" db-id="ssa09sw2ttazvjex2225xtt350ewfx2vadfs"&gt;837&lt;/key&gt;&lt;/foreign-keys&gt;&lt;ref-type name="Journal Article"&gt;17&lt;/ref-type&gt;&lt;contributors&gt;&lt;authors&gt;&lt;author&gt;Treasure, J.&lt;/author&gt;&lt;author&gt;Claudino, AM&lt;/author&gt;&lt;author&gt;Zucker, N&lt;/author&gt;&lt;/authors&gt;&lt;/contributors&gt;&lt;titles&gt;&lt;title&gt;Eating disorders&lt;/title&gt;&lt;secondary-title&gt;Lancet&lt;/secondary-title&gt;&lt;/titles&gt;&lt;periodical&gt;&lt;full-title&gt;Lancet&lt;/full-title&gt;&lt;/periodical&gt;&lt;pages&gt;583-93&lt;/pages&gt;&lt;volume&gt;375&lt;/volume&gt;&lt;number&gt;9714&lt;/number&gt;&lt;dates&gt;&lt;year&gt;2010&lt;/year&gt;&lt;/dates&gt;&lt;urls&gt;&lt;/urls&gt;&lt;/record&gt;&lt;/Cite&gt;&lt;/EndNote&gt;</w:instrText>
      </w:r>
      <w:r w:rsidRPr="00E55D6D">
        <w:rPr>
          <w:rFonts w:cs="Arial"/>
          <w:sz w:val="16"/>
          <w:szCs w:val="16"/>
        </w:rPr>
        <w:fldChar w:fldCharType="separate"/>
      </w:r>
      <w:r w:rsidRPr="00E55D6D">
        <w:rPr>
          <w:rFonts w:cs="Arial"/>
          <w:noProof/>
          <w:sz w:val="16"/>
          <w:szCs w:val="16"/>
        </w:rPr>
        <w:t xml:space="preserve">Treasure J, Claudino </w:t>
      </w:r>
      <w:r w:rsidRPr="00E55D6D">
        <w:rPr>
          <w:rFonts w:cs="Arial"/>
          <w:caps/>
          <w:noProof/>
          <w:sz w:val="16"/>
          <w:szCs w:val="16"/>
        </w:rPr>
        <w:t xml:space="preserve">AM, </w:t>
      </w:r>
      <w:r w:rsidRPr="00E55D6D">
        <w:rPr>
          <w:rFonts w:cs="Arial"/>
          <w:noProof/>
          <w:sz w:val="16"/>
          <w:szCs w:val="16"/>
        </w:rPr>
        <w:t xml:space="preserve">Zucker N (2010) Eating disorders. </w:t>
      </w:r>
      <w:r w:rsidRPr="00E55D6D">
        <w:rPr>
          <w:rFonts w:cs="Arial"/>
          <w:i/>
          <w:noProof/>
          <w:sz w:val="16"/>
          <w:szCs w:val="16"/>
        </w:rPr>
        <w:t>Lancet</w:t>
      </w:r>
      <w:r w:rsidRPr="00E55D6D">
        <w:rPr>
          <w:rFonts w:cs="Arial"/>
          <w:noProof/>
          <w:sz w:val="16"/>
          <w:szCs w:val="16"/>
        </w:rPr>
        <w:t>. 375 (9714):583-93</w:t>
      </w:r>
      <w:r w:rsidRPr="00E55D6D">
        <w:rPr>
          <w:rFonts w:cs="Arial"/>
          <w:sz w:val="16"/>
          <w:szCs w:val="16"/>
        </w:rPr>
        <w:fldChar w:fldCharType="end"/>
      </w:r>
    </w:p>
  </w:footnote>
  <w:footnote w:id="90">
    <w:p w14:paraId="5C8EBF96" w14:textId="7090DB29" w:rsidR="00B208C1" w:rsidRPr="00E55D6D" w:rsidRDefault="00B208C1" w:rsidP="00244F71">
      <w:pPr>
        <w:pStyle w:val="FootnoteText"/>
        <w:tabs>
          <w:tab w:val="left" w:pos="255"/>
          <w:tab w:val="left" w:pos="289"/>
        </w:tabs>
        <w:spacing w:after="40"/>
        <w:ind w:left="255" w:hanging="255"/>
        <w:jc w:val="both"/>
        <w:rPr>
          <w:rFonts w:cs="Arial"/>
          <w:sz w:val="16"/>
          <w:szCs w:val="16"/>
        </w:rPr>
      </w:pPr>
      <w:r w:rsidRPr="00E55D6D">
        <w:rPr>
          <w:rStyle w:val="FootnoteReference"/>
          <w:rFonts w:cs="Arial"/>
          <w:sz w:val="18"/>
          <w:szCs w:val="18"/>
        </w:rPr>
        <w:footnoteRef/>
      </w:r>
      <w:r w:rsidRPr="00E55D6D">
        <w:rPr>
          <w:rFonts w:cs="Arial"/>
          <w:sz w:val="18"/>
          <w:szCs w:val="18"/>
        </w:rPr>
        <w:t xml:space="preserve"> </w:t>
      </w:r>
      <w:r w:rsidRPr="00E55D6D">
        <w:rPr>
          <w:rFonts w:cs="Arial"/>
          <w:sz w:val="16"/>
          <w:szCs w:val="16"/>
        </w:rPr>
        <w:tab/>
      </w:r>
      <w:r w:rsidRPr="00E55D6D">
        <w:rPr>
          <w:rFonts w:cs="Arial"/>
          <w:sz w:val="16"/>
          <w:szCs w:val="16"/>
        </w:rPr>
        <w:fldChar w:fldCharType="begin"/>
      </w:r>
      <w:r w:rsidRPr="00E55D6D">
        <w:rPr>
          <w:rFonts w:cs="Arial"/>
          <w:sz w:val="16"/>
          <w:szCs w:val="16"/>
        </w:rPr>
        <w:instrText xml:space="preserve"> ADDIN EN.CITE &lt;EndNote&gt;&lt;Cite&gt;&lt;Author&gt;NEDC&lt;/Author&gt;&lt;Year&gt;2012&lt;/Year&gt;&lt;RecNum&gt;838&lt;/RecNum&gt;&lt;DisplayText&gt;NEDC (2012) An integrated response to complexity : National eating disorders framework 2012&lt;/DisplayText&gt;&lt;record&gt;&lt;rec-number&gt;838&lt;/rec-number&gt;&lt;foreign-keys&gt;&lt;key app="EN" db-id="ssa09sw2ttazvjex2225xtt350ewfx2vadfs"&gt;838&lt;/key&gt;&lt;/foreign-keys&gt;&lt;ref-type name="Book"&gt;6&lt;/ref-type&gt;&lt;contributors&gt;&lt;authors&gt;&lt;author&gt;NEDC,&lt;/author&gt;&lt;/authors&gt;&lt;/contributors&gt;&lt;titles&gt;&lt;title&gt;An integrated response to complexity : National eating disorders framework 2012&lt;/title&gt;&lt;/titles&gt;&lt;dates&gt;&lt;year&gt;2012&lt;/year&gt;&lt;/dates&gt;&lt;pub-location&gt;Crows Nest, N.S.W.&lt;/pub-location&gt;&lt;publisher&gt;National Eating Disorders Collaboration&lt;/publisher&gt;&lt;urls&gt;&lt;related-urls&gt;&lt;url&gt;http://www.nedc.com.au/files/pdfs/National%20Framework%20An%20integrated%20Response%20to%20Complexity%202012%20-%20Final.pdf&lt;/url&gt;&lt;/related-urls&gt;&lt;/urls&gt;&lt;/record&gt;&lt;/Cite&gt;&lt;/EndNote&gt;</w:instrText>
      </w:r>
      <w:r w:rsidRPr="00E55D6D">
        <w:rPr>
          <w:rFonts w:cs="Arial"/>
          <w:sz w:val="16"/>
          <w:szCs w:val="16"/>
        </w:rPr>
        <w:fldChar w:fldCharType="separate"/>
      </w:r>
      <w:r w:rsidRPr="00E55D6D">
        <w:rPr>
          <w:rFonts w:cs="Arial"/>
          <w:noProof/>
          <w:sz w:val="16"/>
          <w:szCs w:val="16"/>
        </w:rPr>
        <w:t>N</w:t>
      </w:r>
      <w:r>
        <w:rPr>
          <w:rFonts w:cs="Arial"/>
          <w:noProof/>
          <w:sz w:val="16"/>
          <w:szCs w:val="16"/>
        </w:rPr>
        <w:t xml:space="preserve">ational </w:t>
      </w:r>
      <w:r w:rsidRPr="00E55D6D">
        <w:rPr>
          <w:rFonts w:cs="Arial"/>
          <w:noProof/>
          <w:sz w:val="16"/>
          <w:szCs w:val="16"/>
        </w:rPr>
        <w:t>E</w:t>
      </w:r>
      <w:r>
        <w:rPr>
          <w:rFonts w:cs="Arial"/>
          <w:noProof/>
          <w:sz w:val="16"/>
          <w:szCs w:val="16"/>
        </w:rPr>
        <w:t xml:space="preserve">ating </w:t>
      </w:r>
      <w:r w:rsidRPr="00E55D6D">
        <w:rPr>
          <w:rFonts w:cs="Arial"/>
          <w:noProof/>
          <w:sz w:val="16"/>
          <w:szCs w:val="16"/>
        </w:rPr>
        <w:t>D</w:t>
      </w:r>
      <w:r>
        <w:rPr>
          <w:rFonts w:cs="Arial"/>
          <w:noProof/>
          <w:sz w:val="16"/>
          <w:szCs w:val="16"/>
        </w:rPr>
        <w:t xml:space="preserve">isoders </w:t>
      </w:r>
      <w:r w:rsidRPr="00E55D6D">
        <w:rPr>
          <w:rFonts w:cs="Arial"/>
          <w:noProof/>
          <w:sz w:val="16"/>
          <w:szCs w:val="16"/>
        </w:rPr>
        <w:t>C</w:t>
      </w:r>
      <w:r>
        <w:rPr>
          <w:rFonts w:cs="Arial"/>
          <w:noProof/>
          <w:sz w:val="16"/>
          <w:szCs w:val="16"/>
        </w:rPr>
        <w:t>ollaboration</w:t>
      </w:r>
      <w:r w:rsidRPr="00E55D6D">
        <w:rPr>
          <w:rFonts w:cs="Arial"/>
          <w:noProof/>
          <w:sz w:val="16"/>
          <w:szCs w:val="16"/>
        </w:rPr>
        <w:t xml:space="preserve"> (2012) An integrated response to complexity: National eating disorders framework</w:t>
      </w:r>
      <w:r w:rsidRPr="00E55D6D">
        <w:rPr>
          <w:rFonts w:cs="Arial"/>
          <w:sz w:val="16"/>
          <w:szCs w:val="16"/>
        </w:rPr>
        <w:fldChar w:fldCharType="end"/>
      </w:r>
      <w:r w:rsidRPr="00E55D6D">
        <w:rPr>
          <w:rFonts w:cs="Arial"/>
          <w:sz w:val="16"/>
          <w:szCs w:val="16"/>
        </w:rPr>
        <w:t xml:space="preserve">. </w:t>
      </w:r>
      <w:r>
        <w:rPr>
          <w:rFonts w:cs="Arial"/>
          <w:sz w:val="16"/>
          <w:szCs w:val="16"/>
        </w:rPr>
        <w:t>NEDC</w:t>
      </w:r>
      <w:r w:rsidRPr="00E55D6D">
        <w:rPr>
          <w:rFonts w:cs="Arial"/>
          <w:sz w:val="16"/>
          <w:szCs w:val="16"/>
        </w:rPr>
        <w:t xml:space="preserve">. Sydney. Available from: </w:t>
      </w:r>
      <w:hyperlink r:id="rId81" w:history="1">
        <w:r>
          <w:rPr>
            <w:rStyle w:val="Hyperlink"/>
            <w:rFonts w:cs="Arial"/>
            <w:sz w:val="16"/>
            <w:szCs w:val="16"/>
          </w:rPr>
          <w:t>URL</w:t>
        </w:r>
      </w:hyperlink>
    </w:p>
  </w:footnote>
  <w:footnote w:id="91">
    <w:p w14:paraId="6B58CC02" w14:textId="5157DEAE" w:rsidR="00B208C1" w:rsidRPr="00E55D6D" w:rsidRDefault="00B208C1" w:rsidP="00244F71">
      <w:pPr>
        <w:pStyle w:val="FootnoteText"/>
        <w:tabs>
          <w:tab w:val="left" w:pos="255"/>
          <w:tab w:val="left" w:pos="289"/>
        </w:tabs>
        <w:spacing w:after="40"/>
        <w:ind w:left="255" w:hanging="255"/>
        <w:jc w:val="both"/>
        <w:rPr>
          <w:rFonts w:cs="Arial"/>
          <w:sz w:val="16"/>
          <w:szCs w:val="16"/>
          <w:shd w:val="clear" w:color="auto" w:fill="FFFFFF"/>
        </w:rPr>
      </w:pPr>
      <w:r w:rsidRPr="00E55D6D">
        <w:rPr>
          <w:rStyle w:val="FootnoteReference"/>
          <w:rFonts w:cs="Arial"/>
          <w:sz w:val="18"/>
          <w:szCs w:val="18"/>
        </w:rPr>
        <w:footnoteRef/>
      </w:r>
      <w:r w:rsidRPr="00E55D6D">
        <w:rPr>
          <w:rFonts w:cs="Arial"/>
          <w:sz w:val="16"/>
          <w:szCs w:val="16"/>
        </w:rPr>
        <w:t xml:space="preserve"> </w:t>
      </w:r>
      <w:r>
        <w:rPr>
          <w:rFonts w:cs="Arial"/>
          <w:sz w:val="16"/>
          <w:szCs w:val="16"/>
        </w:rPr>
        <w:t xml:space="preserve">  </w:t>
      </w:r>
      <w:r w:rsidRPr="00E55D6D">
        <w:rPr>
          <w:rFonts w:cs="Arial"/>
          <w:sz w:val="16"/>
          <w:szCs w:val="16"/>
          <w:shd w:val="clear" w:color="auto" w:fill="FFFFFF"/>
        </w:rPr>
        <w:t>National Eating Disorders Collaboration (2012).</w:t>
      </w:r>
      <w:r>
        <w:rPr>
          <w:rFonts w:cs="Arial"/>
          <w:sz w:val="16"/>
          <w:szCs w:val="16"/>
          <w:shd w:val="clear" w:color="auto" w:fill="FFFFFF"/>
        </w:rPr>
        <w:t xml:space="preserve"> </w:t>
      </w:r>
      <w:r w:rsidRPr="00E55D6D">
        <w:rPr>
          <w:rFonts w:cs="Arial"/>
          <w:sz w:val="16"/>
          <w:szCs w:val="16"/>
          <w:shd w:val="clear" w:color="auto" w:fill="FFFFFF"/>
        </w:rPr>
        <w:t>Eating disorders in Australia</w:t>
      </w:r>
      <w:r>
        <w:rPr>
          <w:rStyle w:val="Emphasis"/>
          <w:rFonts w:cs="Arial"/>
          <w:iCs/>
          <w:sz w:val="16"/>
          <w:szCs w:val="16"/>
          <w:shd w:val="clear" w:color="auto" w:fill="FFFFFF"/>
        </w:rPr>
        <w:t xml:space="preserve">. </w:t>
      </w:r>
      <w:r w:rsidRPr="00E55D6D">
        <w:rPr>
          <w:rFonts w:cs="Arial"/>
          <w:sz w:val="16"/>
          <w:szCs w:val="16"/>
          <w:shd w:val="clear" w:color="auto" w:fill="FFFFFF"/>
        </w:rPr>
        <w:t>NEDC</w:t>
      </w:r>
      <w:r>
        <w:rPr>
          <w:rFonts w:cs="Arial"/>
          <w:sz w:val="16"/>
          <w:szCs w:val="16"/>
          <w:shd w:val="clear" w:color="auto" w:fill="FFFFFF"/>
        </w:rPr>
        <w:t>,</w:t>
      </w:r>
      <w:r w:rsidRPr="00E55D6D">
        <w:rPr>
          <w:rFonts w:cs="Arial"/>
          <w:sz w:val="16"/>
          <w:szCs w:val="16"/>
          <w:shd w:val="clear" w:color="auto" w:fill="FFFFFF"/>
        </w:rPr>
        <w:t xml:space="preserve"> Sydney, p. 7. Available from: </w:t>
      </w:r>
      <w:hyperlink r:id="rId82" w:history="1">
        <w:r>
          <w:rPr>
            <w:rStyle w:val="Hyperlink"/>
            <w:rFonts w:cs="Arial"/>
            <w:sz w:val="16"/>
            <w:szCs w:val="16"/>
            <w:shd w:val="clear" w:color="auto" w:fill="FFFFFF"/>
          </w:rPr>
          <w:t>URL</w:t>
        </w:r>
      </w:hyperlink>
    </w:p>
  </w:footnote>
  <w:footnote w:id="92">
    <w:p w14:paraId="489765DB" w14:textId="54B8D1DD" w:rsidR="00B208C1" w:rsidRPr="00E55D6D" w:rsidRDefault="00B208C1" w:rsidP="00244F71">
      <w:pPr>
        <w:pStyle w:val="FootnoteText"/>
        <w:tabs>
          <w:tab w:val="left" w:pos="255"/>
        </w:tabs>
        <w:spacing w:after="40"/>
        <w:ind w:left="255" w:hanging="255"/>
        <w:jc w:val="both"/>
        <w:rPr>
          <w:rFonts w:cs="Arial"/>
          <w:sz w:val="16"/>
          <w:szCs w:val="16"/>
        </w:rPr>
      </w:pPr>
      <w:r w:rsidRPr="00E55D6D">
        <w:rPr>
          <w:rStyle w:val="FootnoteReference"/>
          <w:rFonts w:cs="Arial"/>
          <w:sz w:val="18"/>
          <w:szCs w:val="18"/>
        </w:rPr>
        <w:footnoteRef/>
      </w:r>
      <w:r w:rsidRPr="00E55D6D">
        <w:rPr>
          <w:rFonts w:cs="Arial"/>
          <w:sz w:val="16"/>
          <w:szCs w:val="16"/>
        </w:rPr>
        <w:t xml:space="preserve"> </w:t>
      </w:r>
      <w:r>
        <w:rPr>
          <w:rFonts w:cs="Arial"/>
          <w:sz w:val="16"/>
          <w:szCs w:val="16"/>
        </w:rPr>
        <w:t xml:space="preserve"> </w:t>
      </w:r>
      <w:r w:rsidRPr="00E55D6D">
        <w:rPr>
          <w:rFonts w:cs="Arial"/>
          <w:noProof/>
          <w:sz w:val="16"/>
          <w:szCs w:val="16"/>
        </w:rPr>
        <w:t xml:space="preserve">Guest J, Bilgin A, Pearce R, Baines S, Zeuschner C, Rossignol-Grant CL, et al. (2010) </w:t>
      </w:r>
      <w:r w:rsidRPr="00E55D6D">
        <w:rPr>
          <w:rFonts w:cs="Arial"/>
          <w:bCs/>
          <w:noProof/>
          <w:sz w:val="16"/>
          <w:szCs w:val="16"/>
        </w:rPr>
        <w:t>Evidence for under-nutrition in adolescent females using routine dieting practices</w:t>
      </w:r>
      <w:r w:rsidRPr="00E55D6D">
        <w:rPr>
          <w:rFonts w:cs="Arial"/>
          <w:noProof/>
          <w:sz w:val="16"/>
          <w:szCs w:val="16"/>
        </w:rPr>
        <w:t xml:space="preserve">. </w:t>
      </w:r>
      <w:r w:rsidRPr="00E55D6D">
        <w:rPr>
          <w:rFonts w:cs="Arial"/>
          <w:i/>
          <w:noProof/>
          <w:sz w:val="16"/>
          <w:szCs w:val="16"/>
        </w:rPr>
        <w:t>Asia Pacific Journal of Clinical Nutrition</w:t>
      </w:r>
      <w:r w:rsidRPr="00E55D6D">
        <w:rPr>
          <w:rFonts w:cs="Arial"/>
          <w:noProof/>
          <w:sz w:val="16"/>
          <w:szCs w:val="16"/>
        </w:rPr>
        <w:t>. 19 (4):526-33</w:t>
      </w:r>
    </w:p>
  </w:footnote>
  <w:footnote w:id="93">
    <w:p w14:paraId="732B6995" w14:textId="3EBC3137" w:rsidR="00B208C1" w:rsidRPr="00E55D6D" w:rsidRDefault="00B208C1" w:rsidP="00244F71">
      <w:pPr>
        <w:pStyle w:val="FootnoteText"/>
        <w:tabs>
          <w:tab w:val="left" w:pos="357"/>
        </w:tabs>
        <w:spacing w:after="40"/>
        <w:ind w:left="357" w:hanging="357"/>
        <w:jc w:val="both"/>
        <w:rPr>
          <w:rFonts w:cs="Arial"/>
          <w:sz w:val="16"/>
          <w:szCs w:val="16"/>
        </w:rPr>
      </w:pPr>
      <w:r w:rsidRPr="00E55D6D">
        <w:rPr>
          <w:rStyle w:val="FootnoteReference"/>
          <w:rFonts w:cs="Arial"/>
          <w:sz w:val="18"/>
          <w:szCs w:val="18"/>
        </w:rPr>
        <w:footnoteRef/>
      </w:r>
      <w:r w:rsidRPr="00E55D6D">
        <w:rPr>
          <w:rFonts w:cs="Arial"/>
          <w:sz w:val="18"/>
          <w:szCs w:val="18"/>
        </w:rPr>
        <w:t xml:space="preserve"> </w:t>
      </w:r>
      <w:r>
        <w:rPr>
          <w:rFonts w:cs="Arial"/>
          <w:sz w:val="16"/>
          <w:szCs w:val="16"/>
        </w:rPr>
        <w:t xml:space="preserve">  </w:t>
      </w:r>
      <w:r w:rsidRPr="00E55D6D">
        <w:rPr>
          <w:rFonts w:cs="Arial"/>
          <w:noProof/>
          <w:sz w:val="16"/>
          <w:szCs w:val="16"/>
        </w:rPr>
        <w:t xml:space="preserve">Wade TD, Wilksch SM, Lee C (2012)  </w:t>
      </w:r>
      <w:r w:rsidRPr="00E55D6D">
        <w:rPr>
          <w:rFonts w:cs="Arial"/>
          <w:bCs/>
          <w:noProof/>
          <w:sz w:val="16"/>
          <w:szCs w:val="16"/>
        </w:rPr>
        <w:t>A longitudinal investigation of the impact of disordered eating on young women's quality</w:t>
      </w:r>
      <w:r>
        <w:rPr>
          <w:rFonts w:cs="Arial"/>
          <w:bCs/>
          <w:noProof/>
          <w:sz w:val="16"/>
          <w:szCs w:val="16"/>
        </w:rPr>
        <w:t xml:space="preserve"> </w:t>
      </w:r>
      <w:r w:rsidRPr="00E55D6D">
        <w:rPr>
          <w:rFonts w:cs="Arial"/>
          <w:bCs/>
          <w:noProof/>
          <w:sz w:val="16"/>
          <w:szCs w:val="16"/>
        </w:rPr>
        <w:t>of life</w:t>
      </w:r>
      <w:r w:rsidRPr="00E55D6D">
        <w:rPr>
          <w:rFonts w:cs="Arial"/>
          <w:noProof/>
          <w:sz w:val="16"/>
          <w:szCs w:val="16"/>
        </w:rPr>
        <w:t xml:space="preserve">. </w:t>
      </w:r>
      <w:r w:rsidRPr="00E55D6D">
        <w:rPr>
          <w:rFonts w:cs="Arial"/>
          <w:i/>
          <w:noProof/>
          <w:sz w:val="16"/>
          <w:szCs w:val="16"/>
        </w:rPr>
        <w:t>Health Psychology</w:t>
      </w:r>
      <w:r w:rsidRPr="00E55D6D">
        <w:rPr>
          <w:rFonts w:cs="Arial"/>
          <w:noProof/>
          <w:sz w:val="16"/>
          <w:szCs w:val="16"/>
        </w:rPr>
        <w:t>. 31(3):352-9</w:t>
      </w:r>
    </w:p>
  </w:footnote>
  <w:footnote w:id="94">
    <w:p w14:paraId="637E6FF7" w14:textId="7E11CD9A" w:rsidR="00B208C1" w:rsidRPr="00E55D6D" w:rsidRDefault="00B208C1" w:rsidP="00045C74">
      <w:pPr>
        <w:pStyle w:val="FootnoteText"/>
        <w:tabs>
          <w:tab w:val="left" w:pos="357"/>
        </w:tabs>
        <w:spacing w:after="40"/>
        <w:ind w:left="357" w:hanging="357"/>
        <w:jc w:val="both"/>
        <w:rPr>
          <w:rFonts w:cs="Arial"/>
          <w:sz w:val="16"/>
          <w:szCs w:val="16"/>
        </w:rPr>
      </w:pPr>
      <w:r w:rsidRPr="00E55D6D">
        <w:rPr>
          <w:rStyle w:val="FootnoteReference"/>
          <w:rFonts w:cs="Arial"/>
          <w:sz w:val="18"/>
          <w:szCs w:val="18"/>
        </w:rPr>
        <w:footnoteRef/>
      </w:r>
      <w:r w:rsidRPr="00E55D6D">
        <w:rPr>
          <w:rFonts w:cs="Arial"/>
          <w:sz w:val="18"/>
          <w:szCs w:val="18"/>
        </w:rPr>
        <w:t xml:space="preserve"> </w:t>
      </w:r>
      <w:r>
        <w:rPr>
          <w:rFonts w:cs="Arial"/>
          <w:sz w:val="18"/>
          <w:szCs w:val="18"/>
        </w:rPr>
        <w:t xml:space="preserve"> </w:t>
      </w:r>
      <w:r w:rsidRPr="00E55D6D">
        <w:rPr>
          <w:rFonts w:cs="Arial"/>
          <w:sz w:val="16"/>
          <w:szCs w:val="16"/>
        </w:rPr>
        <w:t xml:space="preserve">Butterfly Foundation (2020), </w:t>
      </w:r>
      <w:r w:rsidRPr="00980EE0">
        <w:rPr>
          <w:rFonts w:cs="Arial"/>
          <w:sz w:val="16"/>
          <w:szCs w:val="16"/>
        </w:rPr>
        <w:t xml:space="preserve">Risks and </w:t>
      </w:r>
      <w:r>
        <w:rPr>
          <w:rFonts w:cs="Arial"/>
          <w:sz w:val="16"/>
          <w:szCs w:val="16"/>
        </w:rPr>
        <w:t>w</w:t>
      </w:r>
      <w:r w:rsidRPr="00980EE0">
        <w:rPr>
          <w:rFonts w:cs="Arial"/>
          <w:sz w:val="16"/>
          <w:szCs w:val="16"/>
        </w:rPr>
        <w:t xml:space="preserve">arning </w:t>
      </w:r>
      <w:r>
        <w:rPr>
          <w:rFonts w:cs="Arial"/>
          <w:sz w:val="16"/>
          <w:szCs w:val="16"/>
        </w:rPr>
        <w:t>s</w:t>
      </w:r>
      <w:r w:rsidRPr="00980EE0">
        <w:rPr>
          <w:rFonts w:cs="Arial"/>
          <w:sz w:val="16"/>
          <w:szCs w:val="16"/>
        </w:rPr>
        <w:t>igns [</w:t>
      </w:r>
      <w:r>
        <w:rPr>
          <w:rFonts w:cs="Arial"/>
          <w:sz w:val="16"/>
          <w:szCs w:val="16"/>
        </w:rPr>
        <w:t>W</w:t>
      </w:r>
      <w:r w:rsidRPr="00980EE0">
        <w:rPr>
          <w:rFonts w:cs="Arial"/>
          <w:sz w:val="16"/>
          <w:szCs w:val="16"/>
        </w:rPr>
        <w:t>ebpage]</w:t>
      </w:r>
      <w:r w:rsidRPr="00E55D6D">
        <w:rPr>
          <w:rFonts w:cs="Arial"/>
          <w:sz w:val="16"/>
          <w:szCs w:val="16"/>
        </w:rPr>
        <w:t xml:space="preserve"> Butterfly Foundation, Crows Nest</w:t>
      </w:r>
      <w:r>
        <w:rPr>
          <w:rFonts w:cs="Arial"/>
          <w:sz w:val="16"/>
          <w:szCs w:val="16"/>
        </w:rPr>
        <w:t>,</w:t>
      </w:r>
      <w:r w:rsidRPr="00E55D6D">
        <w:rPr>
          <w:rFonts w:cs="Arial"/>
          <w:sz w:val="16"/>
          <w:szCs w:val="16"/>
        </w:rPr>
        <w:t xml:space="preserve"> NSW.</w:t>
      </w:r>
      <w:r>
        <w:rPr>
          <w:rFonts w:cs="Arial"/>
          <w:sz w:val="16"/>
          <w:szCs w:val="16"/>
        </w:rPr>
        <w:t xml:space="preserve"> Available from: </w:t>
      </w:r>
      <w:hyperlink r:id="rId83" w:history="1">
        <w:r w:rsidRPr="00980EE0">
          <w:rPr>
            <w:rStyle w:val="Hyperlink"/>
            <w:rFonts w:cs="Arial"/>
            <w:sz w:val="16"/>
            <w:szCs w:val="16"/>
          </w:rPr>
          <w:t>URL</w:t>
        </w:r>
      </w:hyperlink>
    </w:p>
  </w:footnote>
  <w:footnote w:id="95">
    <w:p w14:paraId="049A33DF" w14:textId="6589FBC6" w:rsidR="00B208C1" w:rsidRPr="00E55D6D" w:rsidRDefault="00B208C1" w:rsidP="00045C74">
      <w:pPr>
        <w:pStyle w:val="FootnoteText"/>
        <w:tabs>
          <w:tab w:val="left" w:pos="357"/>
        </w:tabs>
        <w:spacing w:after="40"/>
        <w:ind w:left="357" w:hanging="357"/>
        <w:jc w:val="both"/>
        <w:rPr>
          <w:rFonts w:cs="Arial"/>
          <w:sz w:val="16"/>
          <w:szCs w:val="16"/>
        </w:rPr>
      </w:pPr>
      <w:r w:rsidRPr="00E55D6D">
        <w:rPr>
          <w:rStyle w:val="FootnoteReference"/>
          <w:rFonts w:cs="Arial"/>
          <w:sz w:val="18"/>
          <w:szCs w:val="18"/>
        </w:rPr>
        <w:footnoteRef/>
      </w:r>
      <w:r>
        <w:rPr>
          <w:rFonts w:cs="Arial"/>
          <w:sz w:val="16"/>
          <w:szCs w:val="16"/>
        </w:rPr>
        <w:t xml:space="preserve">  </w:t>
      </w:r>
      <w:r w:rsidRPr="00E55D6D">
        <w:rPr>
          <w:rFonts w:cs="Arial"/>
          <w:sz w:val="16"/>
          <w:szCs w:val="16"/>
        </w:rPr>
        <w:t>Butterfly Foundation (2020) People from multicultural communities [Webpage]</w:t>
      </w:r>
      <w:r>
        <w:rPr>
          <w:rFonts w:cs="Arial"/>
          <w:sz w:val="16"/>
          <w:szCs w:val="16"/>
        </w:rPr>
        <w:t>.</w:t>
      </w:r>
      <w:r w:rsidRPr="00E55D6D">
        <w:rPr>
          <w:rFonts w:cs="Arial"/>
          <w:sz w:val="16"/>
          <w:szCs w:val="16"/>
        </w:rPr>
        <w:t xml:space="preserve"> Butterfly Foundation, </w:t>
      </w:r>
      <w:proofErr w:type="spellStart"/>
      <w:r w:rsidRPr="00E55D6D">
        <w:rPr>
          <w:rFonts w:cs="Arial"/>
          <w:sz w:val="16"/>
          <w:szCs w:val="16"/>
        </w:rPr>
        <w:t>Crows</w:t>
      </w:r>
      <w:proofErr w:type="spellEnd"/>
      <w:r w:rsidRPr="00E55D6D">
        <w:rPr>
          <w:rFonts w:cs="Arial"/>
          <w:sz w:val="16"/>
          <w:szCs w:val="16"/>
        </w:rPr>
        <w:t xml:space="preserve"> Nest</w:t>
      </w:r>
      <w:r>
        <w:rPr>
          <w:rFonts w:cs="Arial"/>
          <w:sz w:val="16"/>
          <w:szCs w:val="16"/>
        </w:rPr>
        <w:t>,</w:t>
      </w:r>
      <w:r w:rsidRPr="00E55D6D">
        <w:rPr>
          <w:rFonts w:cs="Arial"/>
          <w:sz w:val="16"/>
          <w:szCs w:val="16"/>
        </w:rPr>
        <w:t xml:space="preserve"> NSW.</w:t>
      </w:r>
      <w:r>
        <w:rPr>
          <w:rFonts w:cs="Arial"/>
          <w:sz w:val="16"/>
          <w:szCs w:val="16"/>
        </w:rPr>
        <w:t xml:space="preserve"> Available from: </w:t>
      </w:r>
      <w:hyperlink r:id="rId84" w:history="1">
        <w:r w:rsidRPr="00E55D6D">
          <w:rPr>
            <w:rStyle w:val="Hyperlink"/>
            <w:rFonts w:cs="Arial"/>
            <w:sz w:val="16"/>
            <w:szCs w:val="16"/>
          </w:rPr>
          <w:t>URL</w:t>
        </w:r>
      </w:hyperlink>
    </w:p>
  </w:footnote>
  <w:footnote w:id="96">
    <w:p w14:paraId="2AC49D06" w14:textId="798CC8EC" w:rsidR="00B208C1" w:rsidRPr="004724D5" w:rsidRDefault="00B208C1" w:rsidP="00045C74">
      <w:pPr>
        <w:pStyle w:val="FootnoteText"/>
        <w:tabs>
          <w:tab w:val="left" w:pos="357"/>
        </w:tabs>
        <w:spacing w:after="40"/>
        <w:ind w:left="357" w:hanging="357"/>
        <w:jc w:val="both"/>
        <w:rPr>
          <w:rFonts w:cs="Arial"/>
          <w:sz w:val="16"/>
          <w:szCs w:val="16"/>
        </w:rPr>
      </w:pPr>
      <w:r w:rsidRPr="004724D5">
        <w:rPr>
          <w:rStyle w:val="FootnoteReference"/>
          <w:rFonts w:cs="Arial"/>
          <w:sz w:val="18"/>
          <w:szCs w:val="18"/>
        </w:rPr>
        <w:footnoteRef/>
      </w:r>
      <w:r w:rsidRPr="004724D5">
        <w:rPr>
          <w:rFonts w:cs="Arial"/>
          <w:sz w:val="18"/>
          <w:szCs w:val="18"/>
        </w:rPr>
        <w:t xml:space="preserve"> </w:t>
      </w:r>
      <w:r>
        <w:rPr>
          <w:rFonts w:cs="Arial"/>
          <w:sz w:val="18"/>
          <w:szCs w:val="18"/>
        </w:rPr>
        <w:t xml:space="preserve"> </w:t>
      </w:r>
      <w:r w:rsidRPr="004724D5">
        <w:rPr>
          <w:rFonts w:cs="Arial"/>
          <w:sz w:val="16"/>
          <w:szCs w:val="16"/>
        </w:rPr>
        <w:t>Butterfly F</w:t>
      </w:r>
      <w:r>
        <w:rPr>
          <w:rFonts w:cs="Arial"/>
          <w:sz w:val="16"/>
          <w:szCs w:val="16"/>
        </w:rPr>
        <w:t>ou</w:t>
      </w:r>
      <w:r w:rsidRPr="004724D5">
        <w:rPr>
          <w:rFonts w:cs="Arial"/>
          <w:sz w:val="16"/>
          <w:szCs w:val="16"/>
        </w:rPr>
        <w:t>ndation (2020</w:t>
      </w:r>
      <w:r w:rsidRPr="00AE15E4">
        <w:rPr>
          <w:rFonts w:cs="Arial"/>
          <w:sz w:val="16"/>
          <w:szCs w:val="16"/>
        </w:rPr>
        <w:t>) Eating disorders treatment [</w:t>
      </w:r>
      <w:r>
        <w:rPr>
          <w:rFonts w:cs="Arial"/>
          <w:sz w:val="16"/>
          <w:szCs w:val="16"/>
        </w:rPr>
        <w:t>W</w:t>
      </w:r>
      <w:r w:rsidRPr="00AE15E4">
        <w:rPr>
          <w:rFonts w:cs="Arial"/>
          <w:sz w:val="16"/>
          <w:szCs w:val="16"/>
        </w:rPr>
        <w:t>ebpage]</w:t>
      </w:r>
      <w:r>
        <w:rPr>
          <w:rFonts w:cs="Arial"/>
          <w:sz w:val="16"/>
          <w:szCs w:val="16"/>
        </w:rPr>
        <w:t>.</w:t>
      </w:r>
      <w:r w:rsidRPr="004724D5">
        <w:rPr>
          <w:rFonts w:cs="Arial"/>
          <w:sz w:val="16"/>
          <w:szCs w:val="16"/>
        </w:rPr>
        <w:t xml:space="preserve"> Butterfly Foundation, Crows Nest</w:t>
      </w:r>
      <w:r>
        <w:rPr>
          <w:rFonts w:cs="Arial"/>
          <w:sz w:val="16"/>
          <w:szCs w:val="16"/>
        </w:rPr>
        <w:t>,</w:t>
      </w:r>
      <w:r w:rsidRPr="004724D5">
        <w:rPr>
          <w:rFonts w:cs="Arial"/>
          <w:sz w:val="16"/>
          <w:szCs w:val="16"/>
        </w:rPr>
        <w:t xml:space="preserve"> NSW.</w:t>
      </w:r>
      <w:r>
        <w:rPr>
          <w:rFonts w:cs="Arial"/>
          <w:sz w:val="16"/>
          <w:szCs w:val="16"/>
        </w:rPr>
        <w:t xml:space="preserve"> Available from: </w:t>
      </w:r>
      <w:hyperlink r:id="rId85" w:history="1">
        <w:r w:rsidRPr="00AE15E4">
          <w:rPr>
            <w:rStyle w:val="Hyperlink"/>
            <w:rFonts w:cs="Arial"/>
            <w:sz w:val="16"/>
            <w:szCs w:val="16"/>
          </w:rPr>
          <w:t>URL</w:t>
        </w:r>
      </w:hyperlink>
    </w:p>
  </w:footnote>
  <w:footnote w:id="97">
    <w:p w14:paraId="53C8ACB2" w14:textId="2904F874" w:rsidR="00B208C1" w:rsidRPr="004724D5" w:rsidRDefault="00B208C1" w:rsidP="00045C74">
      <w:pPr>
        <w:pStyle w:val="FootnoteText"/>
        <w:tabs>
          <w:tab w:val="left" w:pos="357"/>
        </w:tabs>
        <w:spacing w:after="40"/>
        <w:ind w:left="357" w:hanging="357"/>
        <w:jc w:val="both"/>
        <w:rPr>
          <w:rFonts w:cs="Arial"/>
          <w:sz w:val="16"/>
          <w:szCs w:val="16"/>
        </w:rPr>
      </w:pPr>
      <w:r w:rsidRPr="004724D5">
        <w:rPr>
          <w:rStyle w:val="FootnoteReference"/>
          <w:rFonts w:cs="Arial"/>
          <w:sz w:val="18"/>
          <w:szCs w:val="18"/>
        </w:rPr>
        <w:footnoteRef/>
      </w:r>
      <w:r w:rsidRPr="004724D5">
        <w:rPr>
          <w:rFonts w:cs="Arial"/>
          <w:sz w:val="18"/>
          <w:szCs w:val="18"/>
        </w:rPr>
        <w:t xml:space="preserve"> </w:t>
      </w:r>
      <w:r>
        <w:rPr>
          <w:rFonts w:cs="Arial"/>
          <w:sz w:val="18"/>
          <w:szCs w:val="18"/>
        </w:rPr>
        <w:t xml:space="preserve"> </w:t>
      </w:r>
      <w:r w:rsidRPr="004724D5">
        <w:rPr>
          <w:rFonts w:cs="Arial"/>
          <w:sz w:val="16"/>
          <w:szCs w:val="16"/>
        </w:rPr>
        <w:t>Hart L</w:t>
      </w:r>
      <w:r>
        <w:rPr>
          <w:rFonts w:cs="Arial"/>
          <w:sz w:val="16"/>
          <w:szCs w:val="16"/>
        </w:rPr>
        <w:t xml:space="preserve">, </w:t>
      </w:r>
      <w:proofErr w:type="spellStart"/>
      <w:r w:rsidRPr="004724D5">
        <w:rPr>
          <w:rFonts w:cs="Arial"/>
          <w:sz w:val="16"/>
          <w:szCs w:val="16"/>
        </w:rPr>
        <w:t>Philipou</w:t>
      </w:r>
      <w:proofErr w:type="spellEnd"/>
      <w:r w:rsidRPr="004724D5">
        <w:rPr>
          <w:rFonts w:cs="Arial"/>
          <w:sz w:val="16"/>
          <w:szCs w:val="16"/>
        </w:rPr>
        <w:t xml:space="preserve"> A (2020) </w:t>
      </w:r>
      <w:r w:rsidRPr="00AE15E4">
        <w:rPr>
          <w:rFonts w:cs="Arial"/>
          <w:sz w:val="16"/>
          <w:szCs w:val="16"/>
        </w:rPr>
        <w:t>COVID has presented unique challenges for people with eating disorders</w:t>
      </w:r>
      <w:r>
        <w:rPr>
          <w:rFonts w:cs="Arial"/>
          <w:sz w:val="16"/>
          <w:szCs w:val="16"/>
        </w:rPr>
        <w:t>: t</w:t>
      </w:r>
      <w:r w:rsidRPr="00AE15E4">
        <w:rPr>
          <w:rFonts w:cs="Arial"/>
          <w:sz w:val="16"/>
          <w:szCs w:val="16"/>
        </w:rPr>
        <w:t>hey’ll need support beyond the pandemic</w:t>
      </w:r>
      <w:r>
        <w:rPr>
          <w:rFonts w:cs="Arial"/>
          <w:sz w:val="16"/>
          <w:szCs w:val="16"/>
        </w:rPr>
        <w:t>.</w:t>
      </w:r>
      <w:r w:rsidRPr="004724D5">
        <w:rPr>
          <w:rFonts w:cs="Arial"/>
          <w:sz w:val="16"/>
          <w:szCs w:val="16"/>
        </w:rPr>
        <w:t xml:space="preserve"> </w:t>
      </w:r>
      <w:r w:rsidRPr="00AE15E4">
        <w:rPr>
          <w:rFonts w:cs="Arial"/>
          <w:i/>
          <w:iCs/>
          <w:sz w:val="16"/>
          <w:szCs w:val="16"/>
        </w:rPr>
        <w:t>The Conversation</w:t>
      </w:r>
      <w:r>
        <w:rPr>
          <w:rFonts w:cs="Arial"/>
          <w:sz w:val="16"/>
          <w:szCs w:val="16"/>
        </w:rPr>
        <w:t>. (Nov 24): 1 webpage</w:t>
      </w:r>
      <w:r w:rsidRPr="004724D5">
        <w:rPr>
          <w:rFonts w:cs="Arial"/>
          <w:sz w:val="16"/>
          <w:szCs w:val="16"/>
        </w:rPr>
        <w:t>.</w:t>
      </w:r>
      <w:r>
        <w:rPr>
          <w:rFonts w:cs="Arial"/>
          <w:sz w:val="16"/>
          <w:szCs w:val="16"/>
        </w:rPr>
        <w:t xml:space="preserve"> Available from: </w:t>
      </w:r>
      <w:hyperlink r:id="rId86" w:history="1">
        <w:r w:rsidRPr="00AE15E4">
          <w:rPr>
            <w:rStyle w:val="Hyperlink"/>
            <w:rFonts w:cs="Arial"/>
            <w:sz w:val="16"/>
            <w:szCs w:val="16"/>
          </w:rPr>
          <w:t>URL</w:t>
        </w:r>
      </w:hyperlink>
    </w:p>
  </w:footnote>
  <w:footnote w:id="98">
    <w:p w14:paraId="5496075F" w14:textId="1E9EB0BC" w:rsidR="00B208C1" w:rsidRPr="004724D5" w:rsidRDefault="00B208C1" w:rsidP="00045C74">
      <w:pPr>
        <w:pStyle w:val="FootnoteText"/>
        <w:tabs>
          <w:tab w:val="left" w:pos="357"/>
        </w:tabs>
        <w:spacing w:after="40"/>
        <w:ind w:left="357" w:hanging="357"/>
        <w:jc w:val="both"/>
        <w:rPr>
          <w:rFonts w:cs="Arial"/>
          <w:sz w:val="16"/>
          <w:szCs w:val="16"/>
        </w:rPr>
      </w:pPr>
      <w:r w:rsidRPr="004724D5">
        <w:rPr>
          <w:rStyle w:val="FootnoteReference"/>
          <w:rFonts w:cs="Arial"/>
          <w:sz w:val="18"/>
          <w:szCs w:val="18"/>
        </w:rPr>
        <w:footnoteRef/>
      </w:r>
      <w:r w:rsidRPr="004724D5">
        <w:rPr>
          <w:rFonts w:cs="Arial"/>
          <w:sz w:val="18"/>
          <w:szCs w:val="18"/>
        </w:rPr>
        <w:t xml:space="preserve"> </w:t>
      </w:r>
      <w:r>
        <w:rPr>
          <w:rFonts w:cs="Arial"/>
          <w:sz w:val="16"/>
          <w:szCs w:val="16"/>
        </w:rPr>
        <w:t xml:space="preserve"> </w:t>
      </w:r>
      <w:r w:rsidRPr="004724D5">
        <w:rPr>
          <w:rFonts w:cs="Arial"/>
          <w:sz w:val="16"/>
          <w:szCs w:val="16"/>
        </w:rPr>
        <w:t xml:space="preserve">Butterfly Foundation (2020) </w:t>
      </w:r>
      <w:r w:rsidRPr="00AE15E4">
        <w:rPr>
          <w:rFonts w:cs="Arial"/>
          <w:sz w:val="16"/>
          <w:szCs w:val="16"/>
        </w:rPr>
        <w:t xml:space="preserve">MAYDAYS 2020 Survey </w:t>
      </w:r>
      <w:r>
        <w:rPr>
          <w:rFonts w:cs="Arial"/>
          <w:sz w:val="16"/>
          <w:szCs w:val="16"/>
        </w:rPr>
        <w:t>r</w:t>
      </w:r>
      <w:r w:rsidRPr="00AE15E4">
        <w:rPr>
          <w:rFonts w:cs="Arial"/>
          <w:sz w:val="16"/>
          <w:szCs w:val="16"/>
        </w:rPr>
        <w:t xml:space="preserve">eport: </w:t>
      </w:r>
      <w:r>
        <w:rPr>
          <w:rFonts w:cs="Arial"/>
          <w:sz w:val="16"/>
          <w:szCs w:val="16"/>
        </w:rPr>
        <w:t>b</w:t>
      </w:r>
      <w:r w:rsidRPr="00AE15E4">
        <w:rPr>
          <w:rFonts w:cs="Arial"/>
          <w:sz w:val="16"/>
          <w:szCs w:val="16"/>
        </w:rPr>
        <w:t>arriers to accessing eating disorder healthcare and support</w:t>
      </w:r>
      <w:r>
        <w:rPr>
          <w:rFonts w:cs="Arial"/>
          <w:sz w:val="16"/>
          <w:szCs w:val="16"/>
        </w:rPr>
        <w:t>.</w:t>
      </w:r>
      <w:r w:rsidRPr="004724D5">
        <w:rPr>
          <w:rFonts w:cs="Arial"/>
          <w:sz w:val="16"/>
          <w:szCs w:val="16"/>
        </w:rPr>
        <w:t xml:space="preserve"> Butterfly Foundation</w:t>
      </w:r>
      <w:r>
        <w:rPr>
          <w:rFonts w:cs="Arial"/>
          <w:sz w:val="16"/>
          <w:szCs w:val="16"/>
        </w:rPr>
        <w:t>,</w:t>
      </w:r>
      <w:r w:rsidRPr="004724D5">
        <w:rPr>
          <w:rFonts w:cs="Arial"/>
          <w:sz w:val="16"/>
          <w:szCs w:val="16"/>
        </w:rPr>
        <w:t xml:space="preserve"> Crows Nest</w:t>
      </w:r>
      <w:r>
        <w:rPr>
          <w:rFonts w:cs="Arial"/>
          <w:sz w:val="16"/>
          <w:szCs w:val="16"/>
        </w:rPr>
        <w:t>,</w:t>
      </w:r>
      <w:r w:rsidRPr="004724D5">
        <w:rPr>
          <w:rFonts w:cs="Arial"/>
          <w:sz w:val="16"/>
          <w:szCs w:val="16"/>
        </w:rPr>
        <w:t xml:space="preserve"> NSW.</w:t>
      </w:r>
      <w:r>
        <w:rPr>
          <w:rFonts w:cs="Arial"/>
          <w:sz w:val="16"/>
          <w:szCs w:val="16"/>
        </w:rPr>
        <w:t xml:space="preserve"> Available from: </w:t>
      </w:r>
      <w:hyperlink r:id="rId87" w:history="1">
        <w:r w:rsidRPr="004724D5">
          <w:rPr>
            <w:rStyle w:val="Hyperlink"/>
            <w:rFonts w:cs="Arial"/>
            <w:sz w:val="16"/>
            <w:szCs w:val="16"/>
          </w:rPr>
          <w:t>URL</w:t>
        </w:r>
      </w:hyperlink>
    </w:p>
  </w:footnote>
  <w:footnote w:id="99">
    <w:p w14:paraId="1AA5B822" w14:textId="55166EC3" w:rsidR="00B208C1" w:rsidRPr="004724D5" w:rsidRDefault="00B208C1" w:rsidP="00045C74">
      <w:pPr>
        <w:pStyle w:val="FootnoteText"/>
        <w:tabs>
          <w:tab w:val="left" w:pos="357"/>
        </w:tabs>
        <w:spacing w:after="40"/>
        <w:ind w:left="357" w:hanging="357"/>
        <w:jc w:val="both"/>
        <w:rPr>
          <w:rFonts w:cs="Arial"/>
          <w:sz w:val="16"/>
          <w:szCs w:val="16"/>
        </w:rPr>
      </w:pPr>
      <w:r w:rsidRPr="004724D5">
        <w:rPr>
          <w:rStyle w:val="FootnoteReference"/>
          <w:rFonts w:cs="Arial"/>
          <w:sz w:val="18"/>
          <w:szCs w:val="18"/>
        </w:rPr>
        <w:footnoteRef/>
      </w:r>
      <w:r w:rsidRPr="004724D5">
        <w:rPr>
          <w:rFonts w:cs="Arial"/>
          <w:sz w:val="18"/>
          <w:szCs w:val="18"/>
        </w:rPr>
        <w:t xml:space="preserve"> </w:t>
      </w:r>
      <w:r>
        <w:rPr>
          <w:rFonts w:cs="Arial"/>
          <w:sz w:val="16"/>
          <w:szCs w:val="16"/>
        </w:rPr>
        <w:t xml:space="preserve">  ibid. Available from: </w:t>
      </w:r>
      <w:hyperlink r:id="rId88" w:history="1">
        <w:r w:rsidRPr="004724D5">
          <w:rPr>
            <w:rStyle w:val="Hyperlink"/>
            <w:rFonts w:cs="Arial"/>
            <w:sz w:val="16"/>
            <w:szCs w:val="16"/>
          </w:rPr>
          <w:t>URL</w:t>
        </w:r>
      </w:hyperlink>
    </w:p>
  </w:footnote>
  <w:footnote w:id="100">
    <w:p w14:paraId="38F8CECD" w14:textId="478BC58D" w:rsidR="00B208C1" w:rsidRPr="004724D5" w:rsidRDefault="00B208C1" w:rsidP="00045C74">
      <w:pPr>
        <w:pStyle w:val="FootnoteText"/>
        <w:tabs>
          <w:tab w:val="left" w:pos="357"/>
        </w:tabs>
        <w:spacing w:after="40"/>
        <w:ind w:left="357" w:hanging="357"/>
        <w:jc w:val="both"/>
        <w:rPr>
          <w:rFonts w:cs="Arial"/>
          <w:sz w:val="16"/>
          <w:szCs w:val="16"/>
        </w:rPr>
      </w:pPr>
      <w:r w:rsidRPr="004724D5">
        <w:rPr>
          <w:rStyle w:val="FootnoteReference"/>
          <w:rFonts w:cs="Arial"/>
          <w:sz w:val="18"/>
          <w:szCs w:val="18"/>
        </w:rPr>
        <w:footnoteRef/>
      </w:r>
      <w:r w:rsidRPr="004724D5">
        <w:rPr>
          <w:rFonts w:cs="Arial"/>
          <w:sz w:val="16"/>
          <w:szCs w:val="16"/>
        </w:rPr>
        <w:t xml:space="preserve"> </w:t>
      </w:r>
      <w:r>
        <w:rPr>
          <w:rFonts w:cs="Arial"/>
          <w:sz w:val="16"/>
          <w:szCs w:val="16"/>
        </w:rPr>
        <w:t xml:space="preserve">  </w:t>
      </w:r>
      <w:r w:rsidRPr="004724D5">
        <w:rPr>
          <w:rFonts w:cs="Arial"/>
          <w:sz w:val="16"/>
          <w:szCs w:val="16"/>
        </w:rPr>
        <w:t xml:space="preserve">Hall S, </w:t>
      </w:r>
      <w:proofErr w:type="spellStart"/>
      <w:r w:rsidRPr="004724D5">
        <w:rPr>
          <w:rFonts w:cs="Arial"/>
          <w:sz w:val="16"/>
          <w:szCs w:val="16"/>
        </w:rPr>
        <w:t>Fildes</w:t>
      </w:r>
      <w:proofErr w:type="spellEnd"/>
      <w:r w:rsidRPr="004724D5">
        <w:rPr>
          <w:rFonts w:cs="Arial"/>
          <w:sz w:val="16"/>
          <w:szCs w:val="16"/>
        </w:rPr>
        <w:t xml:space="preserve"> J, </w:t>
      </w:r>
      <w:proofErr w:type="spellStart"/>
      <w:r w:rsidRPr="004724D5">
        <w:rPr>
          <w:rFonts w:cs="Arial"/>
          <w:sz w:val="16"/>
          <w:szCs w:val="16"/>
        </w:rPr>
        <w:t>Perrens</w:t>
      </w:r>
      <w:proofErr w:type="spellEnd"/>
      <w:r w:rsidRPr="004724D5">
        <w:rPr>
          <w:rFonts w:cs="Arial"/>
          <w:sz w:val="16"/>
          <w:szCs w:val="16"/>
        </w:rPr>
        <w:t xml:space="preserve"> B, Plummer J, Carlisle E, Cockayne N, et al. (2019) Can we </w:t>
      </w:r>
      <w:proofErr w:type="gramStart"/>
      <w:r w:rsidRPr="004724D5">
        <w:rPr>
          <w:rFonts w:cs="Arial"/>
          <w:sz w:val="16"/>
          <w:szCs w:val="16"/>
        </w:rPr>
        <w:t>talk?:</w:t>
      </w:r>
      <w:proofErr w:type="gramEnd"/>
      <w:r w:rsidRPr="004724D5">
        <w:rPr>
          <w:rFonts w:cs="Arial"/>
          <w:sz w:val="16"/>
          <w:szCs w:val="16"/>
        </w:rPr>
        <w:t xml:space="preserve"> seven year youth mental health report: 2012-2018. Mission Australia, Sydney. Available from: </w:t>
      </w:r>
      <w:hyperlink r:id="rId89" w:history="1">
        <w:r w:rsidRPr="004724D5">
          <w:rPr>
            <w:rStyle w:val="Hyperlink"/>
            <w:rFonts w:cs="Arial"/>
            <w:sz w:val="16"/>
            <w:szCs w:val="16"/>
          </w:rPr>
          <w:t>URL</w:t>
        </w:r>
      </w:hyperlink>
    </w:p>
  </w:footnote>
  <w:footnote w:id="101">
    <w:p w14:paraId="21C36D4D" w14:textId="51E05B36" w:rsidR="00B208C1" w:rsidRPr="004724D5" w:rsidRDefault="00B208C1" w:rsidP="00045C74">
      <w:pPr>
        <w:tabs>
          <w:tab w:val="left" w:pos="357"/>
        </w:tabs>
        <w:spacing w:after="40" w:line="240" w:lineRule="auto"/>
        <w:ind w:left="357" w:hanging="357"/>
        <w:jc w:val="both"/>
        <w:rPr>
          <w:rFonts w:ascii="Arial" w:hAnsi="Arial" w:cs="Arial"/>
          <w:sz w:val="16"/>
          <w:szCs w:val="16"/>
        </w:rPr>
      </w:pPr>
      <w:r w:rsidRPr="004724D5">
        <w:rPr>
          <w:rStyle w:val="FootnoteReference"/>
          <w:rFonts w:ascii="Arial" w:hAnsi="Arial" w:cs="Arial"/>
          <w:sz w:val="18"/>
          <w:szCs w:val="18"/>
        </w:rPr>
        <w:footnoteRef/>
      </w:r>
      <w:r w:rsidRPr="004724D5">
        <w:rPr>
          <w:rFonts w:ascii="Arial" w:hAnsi="Arial" w:cs="Arial"/>
          <w:sz w:val="18"/>
          <w:szCs w:val="18"/>
        </w:rPr>
        <w:t xml:space="preserve"> </w:t>
      </w:r>
      <w:r>
        <w:rPr>
          <w:rFonts w:ascii="Arial" w:hAnsi="Arial" w:cs="Arial"/>
          <w:sz w:val="16"/>
          <w:szCs w:val="16"/>
        </w:rPr>
        <w:tab/>
      </w:r>
      <w:r w:rsidRPr="00AE15E4">
        <w:rPr>
          <w:rFonts w:ascii="Arial" w:hAnsi="Arial" w:cs="Arial"/>
          <w:sz w:val="16"/>
          <w:szCs w:val="16"/>
        </w:rPr>
        <w:t xml:space="preserve">Robinson J, McCutcheon I, Browne V, et al. (2016) </w:t>
      </w:r>
      <w:r w:rsidRPr="00AE15E4">
        <w:rPr>
          <w:rFonts w:ascii="Arial" w:hAnsi="Arial" w:cs="Arial"/>
          <w:sz w:val="16"/>
          <w:szCs w:val="16"/>
        </w:rPr>
        <w:fldChar w:fldCharType="begin"/>
      </w:r>
      <w:r w:rsidRPr="00AE15E4">
        <w:rPr>
          <w:rFonts w:ascii="Arial" w:hAnsi="Arial" w:cs="Arial"/>
          <w:sz w:val="16"/>
          <w:szCs w:val="16"/>
        </w:rPr>
        <w:instrText xml:space="preserve"> ADDIN EN.CITE &lt;EndNote&gt;&lt;Cite&gt;&lt;Author&gt;Robinson&lt;/Author&gt;&lt;Year&gt;2016&lt;/Year&gt;&lt;RecNum&gt;763&lt;/RecNum&gt;&lt;DisplayText&gt;ibid.&lt;/DisplayText&gt;&lt;record&gt;&lt;rec-number&gt;763&lt;/rec-number&gt;&lt;foreign-keys&gt;&lt;key app="EN" db-id="ssa09sw2ttazvjex2225xtt350ewfx2vadfs"&gt;763&lt;/key&gt;&lt;/foreign-keys&gt;&lt;ref-type name="Book"&gt;6&lt;/ref-type&gt;&lt;contributors&gt;&lt;authors&gt;&lt;author&gt;Robinson, J&lt;/author&gt;&lt;author&gt;McCutcheon, L&lt;/author&gt;&lt;author&gt;Browne, V&lt;/author&gt;&lt;author&gt;Witt, K.&lt;/author&gt;&lt;/authors&gt;&lt;/contributors&gt;&lt;titles&gt;&lt;title&gt;Looking the other way : young people and self-harm&lt;/title&gt;&lt;/titles&gt;&lt;dates&gt;&lt;year&gt;2016&lt;/year&gt;&lt;/dates&gt;&lt;pub-location&gt;Melbourne&lt;/pub-location&gt;&lt;publisher&gt;Orygen, The National Centre of Excellence in Youth Mental Health&lt;/publisher&gt;&lt;isbn&gt;9781920718725&lt;/isbn&gt;&lt;urls&gt;&lt;related-urls&gt;&lt;url&gt;https://www.orygen.org.au/About/News-And-Events/Looking-the-Other-Way-Young-People-and-Self-Harm&lt;/url&gt;&lt;/related-urls&gt;&lt;/urls&gt;&lt;/record&gt;&lt;/Cite&gt;&lt;/EndNote&gt;</w:instrText>
      </w:r>
      <w:r w:rsidRPr="00AE15E4">
        <w:rPr>
          <w:rFonts w:ascii="Arial" w:hAnsi="Arial" w:cs="Arial"/>
          <w:sz w:val="16"/>
          <w:szCs w:val="16"/>
        </w:rPr>
        <w:fldChar w:fldCharType="separate"/>
      </w:r>
      <w:r w:rsidRPr="00AE15E4">
        <w:rPr>
          <w:rFonts w:ascii="Arial" w:hAnsi="Arial" w:cs="Arial"/>
          <w:noProof/>
          <w:sz w:val="16"/>
          <w:szCs w:val="16"/>
        </w:rPr>
        <w:t>Looking the other way: young people and self-harm.</w:t>
      </w:r>
      <w:r w:rsidRPr="00AE15E4">
        <w:rPr>
          <w:rFonts w:ascii="Arial" w:hAnsi="Arial" w:cs="Arial"/>
          <w:sz w:val="16"/>
          <w:szCs w:val="16"/>
        </w:rPr>
        <w:fldChar w:fldCharType="end"/>
      </w:r>
      <w:r w:rsidRPr="00AE15E4">
        <w:rPr>
          <w:rFonts w:ascii="Arial" w:hAnsi="Arial" w:cs="Arial"/>
          <w:sz w:val="16"/>
          <w:szCs w:val="16"/>
        </w:rPr>
        <w:t xml:space="preserve"> Orygen, The National Centre of Excellence in Youth Mental Health, Melbourne, p. </w:t>
      </w:r>
      <w:r>
        <w:rPr>
          <w:rFonts w:ascii="Arial" w:hAnsi="Arial" w:cs="Arial"/>
          <w:sz w:val="16"/>
          <w:szCs w:val="16"/>
        </w:rPr>
        <w:t>9</w:t>
      </w:r>
      <w:r w:rsidRPr="00AE15E4">
        <w:rPr>
          <w:rFonts w:ascii="Arial" w:hAnsi="Arial" w:cs="Arial"/>
          <w:sz w:val="16"/>
          <w:szCs w:val="16"/>
        </w:rPr>
        <w:t xml:space="preserve">. Available from: </w:t>
      </w:r>
      <w:hyperlink r:id="rId90" w:history="1">
        <w:r w:rsidRPr="00AE15E4">
          <w:rPr>
            <w:rStyle w:val="Hyperlink"/>
            <w:rFonts w:ascii="Arial" w:hAnsi="Arial" w:cs="Arial"/>
            <w:sz w:val="16"/>
            <w:szCs w:val="16"/>
          </w:rPr>
          <w:t>URL</w:t>
        </w:r>
      </w:hyperlink>
    </w:p>
  </w:footnote>
  <w:footnote w:id="102">
    <w:p w14:paraId="06E47CB8" w14:textId="178B35A1" w:rsidR="00B208C1" w:rsidRPr="004724D5" w:rsidRDefault="00B208C1" w:rsidP="00045C74">
      <w:pPr>
        <w:pStyle w:val="FootnoteText"/>
        <w:tabs>
          <w:tab w:val="left" w:pos="357"/>
        </w:tabs>
        <w:spacing w:after="40"/>
        <w:ind w:left="357" w:hanging="357"/>
        <w:jc w:val="both"/>
        <w:rPr>
          <w:rFonts w:cs="Arial"/>
          <w:sz w:val="16"/>
          <w:szCs w:val="16"/>
        </w:rPr>
      </w:pPr>
      <w:r w:rsidRPr="004724D5">
        <w:rPr>
          <w:rStyle w:val="FootnoteReference"/>
          <w:rFonts w:cs="Arial"/>
          <w:sz w:val="18"/>
          <w:szCs w:val="18"/>
        </w:rPr>
        <w:footnoteRef/>
      </w:r>
      <w:r w:rsidRPr="004724D5">
        <w:rPr>
          <w:rFonts w:cs="Arial"/>
          <w:sz w:val="16"/>
          <w:szCs w:val="16"/>
        </w:rPr>
        <w:t xml:space="preserve"> </w:t>
      </w:r>
      <w:r>
        <w:rPr>
          <w:rFonts w:cs="Arial"/>
          <w:sz w:val="16"/>
          <w:szCs w:val="16"/>
        </w:rPr>
        <w:tab/>
      </w:r>
      <w:r w:rsidRPr="004724D5">
        <w:rPr>
          <w:rFonts w:cs="Arial"/>
          <w:sz w:val="16"/>
          <w:szCs w:val="16"/>
        </w:rPr>
        <w:t xml:space="preserve">Hall S, Fildes J, Perrens B, Plummer J, Carlisle E, Cockayne N, et al. (2019) Can we talk?: seven year youth mental health report: 2012-2018. Mission Australia, Sydney. Available from: </w:t>
      </w:r>
      <w:hyperlink r:id="rId91" w:history="1">
        <w:r w:rsidRPr="004724D5">
          <w:rPr>
            <w:rStyle w:val="Hyperlink"/>
            <w:rFonts w:cs="Arial"/>
            <w:sz w:val="16"/>
            <w:szCs w:val="16"/>
          </w:rPr>
          <w:t>URL</w:t>
        </w:r>
      </w:hyperlink>
    </w:p>
  </w:footnote>
  <w:footnote w:id="103">
    <w:p w14:paraId="2CB7FF5A" w14:textId="41F78E75" w:rsidR="00B208C1" w:rsidRPr="004724D5" w:rsidRDefault="00B208C1" w:rsidP="00045C74">
      <w:pPr>
        <w:tabs>
          <w:tab w:val="left" w:pos="357"/>
        </w:tabs>
        <w:spacing w:after="40" w:line="240" w:lineRule="auto"/>
        <w:ind w:left="357" w:hanging="357"/>
        <w:jc w:val="both"/>
        <w:rPr>
          <w:rFonts w:ascii="Arial" w:hAnsi="Arial" w:cs="Arial"/>
          <w:sz w:val="16"/>
          <w:szCs w:val="16"/>
        </w:rPr>
      </w:pPr>
      <w:r w:rsidRPr="004724D5">
        <w:rPr>
          <w:rStyle w:val="FootnoteReference"/>
          <w:rFonts w:ascii="Arial" w:hAnsi="Arial" w:cs="Arial"/>
          <w:sz w:val="18"/>
          <w:szCs w:val="18"/>
        </w:rPr>
        <w:footnoteRef/>
      </w:r>
      <w:r w:rsidRPr="004724D5">
        <w:rPr>
          <w:rFonts w:ascii="Arial" w:hAnsi="Arial" w:cs="Arial"/>
          <w:sz w:val="18"/>
          <w:szCs w:val="18"/>
        </w:rPr>
        <w:t xml:space="preserve"> </w:t>
      </w:r>
      <w:r>
        <w:rPr>
          <w:rFonts w:ascii="Arial" w:hAnsi="Arial" w:cs="Arial"/>
          <w:sz w:val="16"/>
          <w:szCs w:val="16"/>
        </w:rPr>
        <w:tab/>
      </w:r>
      <w:r w:rsidRPr="004724D5">
        <w:rPr>
          <w:rFonts w:ascii="Arial" w:hAnsi="Arial" w:cs="Arial"/>
          <w:sz w:val="16"/>
          <w:szCs w:val="16"/>
        </w:rPr>
        <w:t xml:space="preserve">Centre for Multicultural Youth (2014) Mind </w:t>
      </w:r>
      <w:r>
        <w:rPr>
          <w:rFonts w:ascii="Arial" w:hAnsi="Arial" w:cs="Arial"/>
          <w:sz w:val="16"/>
          <w:szCs w:val="16"/>
        </w:rPr>
        <w:t>m</w:t>
      </w:r>
      <w:r w:rsidRPr="004724D5">
        <w:rPr>
          <w:rFonts w:ascii="Arial" w:hAnsi="Arial" w:cs="Arial"/>
          <w:sz w:val="16"/>
          <w:szCs w:val="16"/>
        </w:rPr>
        <w:t>atters</w:t>
      </w:r>
      <w:r>
        <w:rPr>
          <w:rFonts w:ascii="Arial" w:hAnsi="Arial" w:cs="Arial"/>
          <w:sz w:val="16"/>
          <w:szCs w:val="16"/>
        </w:rPr>
        <w:t>: the mental health and wellbeing of young people from diverse cultural backgrounds. CMY, Melbourne</w:t>
      </w:r>
      <w:r w:rsidRPr="004724D5">
        <w:rPr>
          <w:rFonts w:ascii="Arial" w:hAnsi="Arial" w:cs="Arial"/>
          <w:sz w:val="16"/>
          <w:szCs w:val="16"/>
        </w:rPr>
        <w:t>, p.8.</w:t>
      </w:r>
    </w:p>
  </w:footnote>
  <w:footnote w:id="104">
    <w:p w14:paraId="29CBE0E2" w14:textId="0C8024CC" w:rsidR="00B208C1" w:rsidRPr="004724D5" w:rsidRDefault="00B208C1" w:rsidP="00045C74">
      <w:pPr>
        <w:pStyle w:val="FootnoteText"/>
        <w:tabs>
          <w:tab w:val="left" w:pos="357"/>
        </w:tabs>
        <w:spacing w:after="40"/>
        <w:ind w:left="357" w:hanging="357"/>
        <w:jc w:val="both"/>
        <w:rPr>
          <w:rFonts w:cs="Arial"/>
          <w:sz w:val="16"/>
          <w:szCs w:val="16"/>
        </w:rPr>
      </w:pPr>
      <w:r w:rsidRPr="004724D5">
        <w:rPr>
          <w:rStyle w:val="FootnoteReference"/>
          <w:rFonts w:cs="Arial"/>
          <w:sz w:val="18"/>
          <w:szCs w:val="18"/>
        </w:rPr>
        <w:footnoteRef/>
      </w:r>
      <w:r w:rsidRPr="004724D5">
        <w:rPr>
          <w:rFonts w:cs="Arial"/>
          <w:sz w:val="18"/>
          <w:szCs w:val="18"/>
        </w:rPr>
        <w:t xml:space="preserve"> </w:t>
      </w:r>
      <w:r>
        <w:rPr>
          <w:rFonts w:cs="Arial"/>
          <w:sz w:val="16"/>
          <w:szCs w:val="16"/>
        </w:rPr>
        <w:tab/>
      </w:r>
      <w:r w:rsidRPr="004B6527">
        <w:rPr>
          <w:sz w:val="16"/>
          <w:szCs w:val="16"/>
        </w:rPr>
        <w:t>M</w:t>
      </w:r>
      <w:r>
        <w:rPr>
          <w:sz w:val="16"/>
          <w:szCs w:val="16"/>
        </w:rPr>
        <w:t xml:space="preserve">ulticultural </w:t>
      </w:r>
      <w:r w:rsidRPr="004B6527">
        <w:rPr>
          <w:sz w:val="16"/>
          <w:szCs w:val="16"/>
        </w:rPr>
        <w:t>C</w:t>
      </w:r>
      <w:r>
        <w:rPr>
          <w:sz w:val="16"/>
          <w:szCs w:val="16"/>
        </w:rPr>
        <w:t xml:space="preserve">entre for </w:t>
      </w:r>
      <w:r w:rsidRPr="004B6527">
        <w:rPr>
          <w:sz w:val="16"/>
          <w:szCs w:val="16"/>
        </w:rPr>
        <w:t>W</w:t>
      </w:r>
      <w:r>
        <w:rPr>
          <w:sz w:val="16"/>
          <w:szCs w:val="16"/>
        </w:rPr>
        <w:t xml:space="preserve">omen’s </w:t>
      </w:r>
      <w:r w:rsidRPr="004B6527">
        <w:rPr>
          <w:sz w:val="16"/>
          <w:szCs w:val="16"/>
        </w:rPr>
        <w:t>H</w:t>
      </w:r>
      <w:r>
        <w:rPr>
          <w:sz w:val="16"/>
          <w:szCs w:val="16"/>
        </w:rPr>
        <w:t>ealth</w:t>
      </w:r>
      <w:r w:rsidRPr="004B6527">
        <w:rPr>
          <w:sz w:val="16"/>
          <w:szCs w:val="16"/>
        </w:rPr>
        <w:t xml:space="preserve"> (2020)</w:t>
      </w:r>
      <w:r w:rsidRPr="0000595B">
        <w:rPr>
          <w:sz w:val="16"/>
          <w:szCs w:val="16"/>
        </w:rPr>
        <w:t xml:space="preserve">, </w:t>
      </w:r>
      <w:r w:rsidRPr="004B6527">
        <w:rPr>
          <w:sz w:val="16"/>
          <w:szCs w:val="16"/>
        </w:rPr>
        <w:t>Policy brief: Immigrant and refugee women’s mental health</w:t>
      </w:r>
      <w:r>
        <w:rPr>
          <w:sz w:val="16"/>
          <w:szCs w:val="16"/>
        </w:rPr>
        <w:t xml:space="preserve">. </w:t>
      </w:r>
      <w:r w:rsidRPr="0000595B">
        <w:rPr>
          <w:sz w:val="16"/>
          <w:szCs w:val="16"/>
        </w:rPr>
        <w:t>Multicultural Centre for Women’s Health</w:t>
      </w:r>
      <w:r>
        <w:rPr>
          <w:sz w:val="16"/>
          <w:szCs w:val="16"/>
        </w:rPr>
        <w:t xml:space="preserve">, </w:t>
      </w:r>
      <w:r w:rsidRPr="0000595B">
        <w:rPr>
          <w:sz w:val="16"/>
          <w:szCs w:val="16"/>
        </w:rPr>
        <w:t>Collingwood</w:t>
      </w:r>
      <w:r>
        <w:rPr>
          <w:sz w:val="16"/>
          <w:szCs w:val="16"/>
        </w:rPr>
        <w:t xml:space="preserve">, Vic. Available from: </w:t>
      </w:r>
      <w:hyperlink r:id="rId92" w:history="1">
        <w:r w:rsidRPr="004B6527">
          <w:rPr>
            <w:rStyle w:val="Hyperlink"/>
            <w:sz w:val="16"/>
            <w:szCs w:val="16"/>
          </w:rPr>
          <w:t>URL</w:t>
        </w:r>
      </w:hyperlink>
    </w:p>
  </w:footnote>
  <w:footnote w:id="105">
    <w:p w14:paraId="0D7F18FE" w14:textId="77CFA549" w:rsidR="00B208C1" w:rsidRPr="004724D5" w:rsidRDefault="00B208C1" w:rsidP="00045C74">
      <w:pPr>
        <w:tabs>
          <w:tab w:val="left" w:pos="357"/>
        </w:tabs>
        <w:spacing w:after="40" w:line="240" w:lineRule="auto"/>
        <w:ind w:left="357" w:hanging="357"/>
        <w:jc w:val="both"/>
        <w:rPr>
          <w:rFonts w:ascii="Arial" w:hAnsi="Arial" w:cs="Arial"/>
          <w:sz w:val="16"/>
          <w:szCs w:val="16"/>
        </w:rPr>
      </w:pPr>
      <w:r w:rsidRPr="000A46C1">
        <w:rPr>
          <w:rStyle w:val="FootnoteReference"/>
          <w:rFonts w:ascii="Arial" w:hAnsi="Arial" w:cs="Arial"/>
          <w:sz w:val="18"/>
          <w:szCs w:val="18"/>
        </w:rPr>
        <w:footnoteRef/>
      </w:r>
      <w:r w:rsidRPr="004724D5">
        <w:rPr>
          <w:rFonts w:ascii="Arial" w:hAnsi="Arial" w:cs="Arial"/>
          <w:sz w:val="16"/>
          <w:szCs w:val="16"/>
        </w:rPr>
        <w:t xml:space="preserve"> </w:t>
      </w:r>
      <w:r>
        <w:rPr>
          <w:rFonts w:ascii="Arial" w:hAnsi="Arial" w:cs="Arial"/>
          <w:sz w:val="16"/>
          <w:szCs w:val="16"/>
        </w:rPr>
        <w:tab/>
      </w:r>
      <w:r w:rsidRPr="004724D5">
        <w:rPr>
          <w:rFonts w:ascii="Arial" w:eastAsia="Times New Roman" w:hAnsi="Arial" w:cs="Arial"/>
          <w:sz w:val="16"/>
          <w:szCs w:val="16"/>
        </w:rPr>
        <w:t>Redmond G</w:t>
      </w:r>
      <w:r>
        <w:rPr>
          <w:rFonts w:ascii="Arial" w:eastAsia="Times New Roman" w:hAnsi="Arial" w:cs="Arial"/>
          <w:sz w:val="16"/>
          <w:szCs w:val="16"/>
        </w:rPr>
        <w:t>,</w:t>
      </w:r>
      <w:r w:rsidRPr="004724D5">
        <w:rPr>
          <w:rFonts w:ascii="Arial" w:eastAsia="Times New Roman" w:hAnsi="Arial" w:cs="Arial"/>
          <w:sz w:val="16"/>
          <w:szCs w:val="16"/>
        </w:rPr>
        <w:t xml:space="preserve"> Hamilton M</w:t>
      </w:r>
      <w:r>
        <w:rPr>
          <w:rFonts w:ascii="Arial" w:eastAsia="Times New Roman" w:hAnsi="Arial" w:cs="Arial"/>
          <w:sz w:val="16"/>
          <w:szCs w:val="16"/>
        </w:rPr>
        <w:t xml:space="preserve"> (</w:t>
      </w:r>
      <w:r w:rsidRPr="004724D5">
        <w:rPr>
          <w:rFonts w:ascii="Arial" w:eastAsia="Times New Roman" w:hAnsi="Arial" w:cs="Arial"/>
          <w:sz w:val="16"/>
          <w:szCs w:val="16"/>
        </w:rPr>
        <w:t>2019</w:t>
      </w:r>
      <w:r>
        <w:rPr>
          <w:rFonts w:ascii="Arial" w:eastAsia="Times New Roman" w:hAnsi="Arial" w:cs="Arial"/>
          <w:sz w:val="16"/>
          <w:szCs w:val="16"/>
        </w:rPr>
        <w:t>)</w:t>
      </w:r>
      <w:r w:rsidRPr="004724D5">
        <w:rPr>
          <w:rFonts w:ascii="Arial" w:eastAsia="Times New Roman" w:hAnsi="Arial" w:cs="Arial"/>
          <w:sz w:val="16"/>
          <w:szCs w:val="16"/>
        </w:rPr>
        <w:t xml:space="preserve"> Are young carers less engaged in school than non-carers?</w:t>
      </w:r>
      <w:r>
        <w:rPr>
          <w:rFonts w:ascii="Arial" w:eastAsia="Times New Roman" w:hAnsi="Arial" w:cs="Arial"/>
          <w:sz w:val="16"/>
          <w:szCs w:val="16"/>
        </w:rPr>
        <w:t>: e</w:t>
      </w:r>
      <w:r w:rsidRPr="004724D5">
        <w:rPr>
          <w:rFonts w:ascii="Arial" w:eastAsia="Times New Roman" w:hAnsi="Arial" w:cs="Arial"/>
          <w:sz w:val="16"/>
          <w:szCs w:val="16"/>
        </w:rPr>
        <w:t>vidence from a representative Australian study</w:t>
      </w:r>
      <w:r>
        <w:rPr>
          <w:rFonts w:ascii="Arial" w:eastAsia="Times New Roman" w:hAnsi="Arial" w:cs="Arial"/>
          <w:sz w:val="16"/>
          <w:szCs w:val="16"/>
        </w:rPr>
        <w:t xml:space="preserve">. </w:t>
      </w:r>
      <w:r w:rsidRPr="000A46C1">
        <w:rPr>
          <w:rFonts w:ascii="Arial" w:eastAsia="Times New Roman" w:hAnsi="Arial" w:cs="Arial"/>
          <w:i/>
          <w:iCs/>
          <w:sz w:val="16"/>
          <w:szCs w:val="16"/>
        </w:rPr>
        <w:t>Child Indicators Research</w:t>
      </w:r>
      <w:r>
        <w:rPr>
          <w:rFonts w:ascii="Arial" w:eastAsia="Times New Roman" w:hAnsi="Arial" w:cs="Arial"/>
          <w:sz w:val="16"/>
          <w:szCs w:val="16"/>
        </w:rPr>
        <w:t xml:space="preserve">. </w:t>
      </w:r>
      <w:r w:rsidRPr="000A46C1">
        <w:rPr>
          <w:rFonts w:ascii="Arial" w:hAnsi="Arial" w:cs="Arial"/>
          <w:sz w:val="16"/>
          <w:szCs w:val="16"/>
          <w:shd w:val="clear" w:color="auto" w:fill="FFFFFF"/>
        </w:rPr>
        <w:t>13(1), 33-49</w:t>
      </w:r>
      <w:r>
        <w:rPr>
          <w:rFonts w:ascii="Arial" w:hAnsi="Arial" w:cs="Arial"/>
          <w:sz w:val="16"/>
          <w:szCs w:val="16"/>
          <w:shd w:val="clear" w:color="auto" w:fill="FFFFFF"/>
        </w:rPr>
        <w:t xml:space="preserve">. Available from: </w:t>
      </w:r>
      <w:hyperlink r:id="rId93" w:history="1">
        <w:r w:rsidRPr="000A46C1">
          <w:rPr>
            <w:rStyle w:val="Hyperlink"/>
            <w:rFonts w:ascii="Arial" w:hAnsi="Arial" w:cs="Arial"/>
            <w:sz w:val="16"/>
            <w:szCs w:val="16"/>
            <w:shd w:val="clear" w:color="auto" w:fill="FFFFFF"/>
          </w:rPr>
          <w:t>URL</w:t>
        </w:r>
      </w:hyperlink>
    </w:p>
  </w:footnote>
  <w:footnote w:id="106">
    <w:p w14:paraId="5FEE8869" w14:textId="5D8E94F8" w:rsidR="00B208C1" w:rsidRPr="00B6014B" w:rsidRDefault="00B208C1" w:rsidP="00045C74">
      <w:pPr>
        <w:pStyle w:val="FootnoteText"/>
        <w:tabs>
          <w:tab w:val="left" w:pos="357"/>
        </w:tabs>
        <w:spacing w:after="40"/>
        <w:ind w:left="357" w:hanging="357"/>
        <w:jc w:val="both"/>
        <w:rPr>
          <w:rFonts w:cs="Arial"/>
          <w:sz w:val="16"/>
          <w:szCs w:val="16"/>
        </w:rPr>
      </w:pPr>
      <w:r w:rsidRPr="00B6014B">
        <w:rPr>
          <w:rStyle w:val="FootnoteReference"/>
          <w:rFonts w:cs="Arial"/>
          <w:sz w:val="18"/>
          <w:szCs w:val="18"/>
        </w:rPr>
        <w:footnoteRef/>
      </w:r>
      <w:r w:rsidRPr="00B6014B">
        <w:rPr>
          <w:rFonts w:cs="Arial"/>
          <w:sz w:val="16"/>
          <w:szCs w:val="16"/>
        </w:rPr>
        <w:t xml:space="preserve"> </w:t>
      </w:r>
      <w:r>
        <w:rPr>
          <w:rFonts w:cs="Arial"/>
          <w:sz w:val="16"/>
          <w:szCs w:val="16"/>
        </w:rPr>
        <w:tab/>
        <w:t xml:space="preserve">Victoria. </w:t>
      </w:r>
      <w:r w:rsidRPr="00B6014B">
        <w:rPr>
          <w:rFonts w:cs="Arial"/>
          <w:sz w:val="16"/>
          <w:szCs w:val="16"/>
        </w:rPr>
        <w:t>Commission for Children and Young People (2020) Impact of COVID-19 on children and young people</w:t>
      </w:r>
      <w:r>
        <w:rPr>
          <w:rFonts w:cs="Arial"/>
          <w:sz w:val="16"/>
          <w:szCs w:val="16"/>
        </w:rPr>
        <w:t xml:space="preserve">. CCYP, Melbourne. Available from: </w:t>
      </w:r>
      <w:hyperlink r:id="rId94" w:history="1">
        <w:r w:rsidRPr="00B6014B">
          <w:rPr>
            <w:rStyle w:val="Hyperlink"/>
            <w:rFonts w:cs="Arial"/>
            <w:sz w:val="16"/>
            <w:szCs w:val="16"/>
          </w:rPr>
          <w:t>URL</w:t>
        </w:r>
      </w:hyperlink>
    </w:p>
  </w:footnote>
  <w:footnote w:id="107">
    <w:p w14:paraId="730A2FC6" w14:textId="77777777" w:rsidR="00B208C1" w:rsidRPr="002861DC" w:rsidRDefault="00B208C1" w:rsidP="00177C08">
      <w:pPr>
        <w:pStyle w:val="FootnoteText"/>
        <w:tabs>
          <w:tab w:val="left" w:pos="357"/>
        </w:tabs>
        <w:spacing w:after="40"/>
        <w:ind w:left="357" w:hanging="357"/>
        <w:jc w:val="both"/>
        <w:rPr>
          <w:rFonts w:cs="Arial"/>
          <w:sz w:val="16"/>
          <w:szCs w:val="16"/>
        </w:rPr>
      </w:pPr>
      <w:r w:rsidRPr="002861DC">
        <w:rPr>
          <w:rStyle w:val="FootnoteReference"/>
          <w:rFonts w:cs="Arial"/>
          <w:sz w:val="18"/>
          <w:szCs w:val="18"/>
        </w:rPr>
        <w:footnoteRef/>
      </w:r>
      <w:r w:rsidRPr="002861DC">
        <w:rPr>
          <w:rFonts w:cs="Arial"/>
          <w:sz w:val="18"/>
          <w:szCs w:val="18"/>
        </w:rPr>
        <w:t xml:space="preserve"> </w:t>
      </w:r>
      <w:r>
        <w:rPr>
          <w:rFonts w:cs="Arial"/>
          <w:sz w:val="16"/>
          <w:szCs w:val="16"/>
        </w:rPr>
        <w:tab/>
      </w:r>
      <w:r w:rsidRPr="002861DC">
        <w:rPr>
          <w:rFonts w:cs="Arial"/>
          <w:sz w:val="16"/>
          <w:szCs w:val="16"/>
        </w:rPr>
        <w:t>Funston L (2019</w:t>
      </w:r>
      <w:r w:rsidRPr="002861DC">
        <w:rPr>
          <w:rFonts w:cs="Arial"/>
          <w:color w:val="1155CC"/>
          <w:sz w:val="16"/>
          <w:szCs w:val="16"/>
        </w:rPr>
        <w:t xml:space="preserve">) </w:t>
      </w:r>
      <w:r w:rsidRPr="002861DC">
        <w:rPr>
          <w:rFonts w:cs="Arial"/>
          <w:sz w:val="16"/>
          <w:szCs w:val="16"/>
        </w:rPr>
        <w:t xml:space="preserve">In the business of trauma: an intersectional-materialist feminist analysis of ‘trauma informed’ women’s refuges and crisis accommodation services in Sydney and Vancouver [Thesis] </w:t>
      </w:r>
      <w:r w:rsidRPr="002861DC">
        <w:rPr>
          <w:rFonts w:cs="Arial"/>
          <w:i/>
          <w:iCs/>
          <w:sz w:val="16"/>
          <w:szCs w:val="16"/>
        </w:rPr>
        <w:t>University of Sydney. Sydney Digital Theses</w:t>
      </w:r>
      <w:r w:rsidRPr="002861DC">
        <w:rPr>
          <w:rFonts w:cs="Arial"/>
          <w:sz w:val="16"/>
          <w:szCs w:val="16"/>
        </w:rPr>
        <w:t>. 2019 (4699).</w:t>
      </w:r>
      <w:r>
        <w:rPr>
          <w:rFonts w:cs="Arial"/>
          <w:sz w:val="16"/>
          <w:szCs w:val="16"/>
        </w:rPr>
        <w:t xml:space="preserve"> Available from: </w:t>
      </w:r>
      <w:hyperlink r:id="rId95" w:history="1">
        <w:r w:rsidRPr="002861DC">
          <w:rPr>
            <w:rStyle w:val="Hyperlink"/>
            <w:rFonts w:cs="Arial"/>
            <w:sz w:val="16"/>
            <w:szCs w:val="16"/>
          </w:rPr>
          <w:t>URL</w:t>
        </w:r>
      </w:hyperlink>
    </w:p>
  </w:footnote>
  <w:footnote w:id="108">
    <w:p w14:paraId="68D7B431" w14:textId="77777777" w:rsidR="00B208C1" w:rsidRPr="002861DC" w:rsidRDefault="00B208C1" w:rsidP="00177C08">
      <w:pPr>
        <w:pStyle w:val="FootnoteText"/>
        <w:tabs>
          <w:tab w:val="left" w:pos="357"/>
        </w:tabs>
        <w:spacing w:after="40"/>
        <w:ind w:left="357" w:hanging="357"/>
        <w:jc w:val="both"/>
        <w:rPr>
          <w:rFonts w:cs="Arial"/>
          <w:sz w:val="16"/>
          <w:szCs w:val="16"/>
        </w:rPr>
      </w:pPr>
      <w:r w:rsidRPr="002861DC">
        <w:rPr>
          <w:rStyle w:val="FootnoteReference"/>
          <w:rFonts w:cs="Arial"/>
          <w:sz w:val="18"/>
          <w:szCs w:val="18"/>
        </w:rPr>
        <w:footnoteRef/>
      </w:r>
      <w:r w:rsidRPr="002861DC">
        <w:rPr>
          <w:rFonts w:cs="Arial"/>
          <w:sz w:val="18"/>
          <w:szCs w:val="18"/>
        </w:rPr>
        <w:t xml:space="preserve"> </w:t>
      </w:r>
      <w:r>
        <w:rPr>
          <w:rFonts w:cs="Arial"/>
          <w:sz w:val="16"/>
          <w:szCs w:val="16"/>
        </w:rPr>
        <w:tab/>
      </w:r>
      <w:r w:rsidRPr="002861DC">
        <w:rPr>
          <w:rFonts w:cs="Arial"/>
          <w:color w:val="202020"/>
          <w:sz w:val="16"/>
          <w:szCs w:val="16"/>
          <w:shd w:val="clear" w:color="auto" w:fill="FFFFFF"/>
        </w:rPr>
        <w:t xml:space="preserve">Trevillion K, Oram S, Feder G, et al. (2012) </w:t>
      </w:r>
      <w:r w:rsidRPr="002861DC">
        <w:rPr>
          <w:rFonts w:cs="Arial"/>
          <w:sz w:val="16"/>
          <w:szCs w:val="16"/>
          <w:shd w:val="clear" w:color="auto" w:fill="FFFFFF"/>
        </w:rPr>
        <w:t>Experiences of domestic violence and mental disorders: a systematic review and meta-analysis</w:t>
      </w:r>
      <w:r w:rsidRPr="002861DC">
        <w:rPr>
          <w:rFonts w:cs="Arial"/>
          <w:color w:val="202020"/>
          <w:sz w:val="16"/>
          <w:szCs w:val="16"/>
          <w:shd w:val="clear" w:color="auto" w:fill="FFFFFF"/>
        </w:rPr>
        <w:t xml:space="preserve">. </w:t>
      </w:r>
      <w:r w:rsidRPr="002861DC">
        <w:rPr>
          <w:rFonts w:cs="Arial"/>
          <w:i/>
          <w:color w:val="202020"/>
          <w:sz w:val="16"/>
          <w:szCs w:val="16"/>
          <w:shd w:val="clear" w:color="auto" w:fill="FFFFFF"/>
        </w:rPr>
        <w:t>PLoS ONE</w:t>
      </w:r>
      <w:r w:rsidRPr="002861DC">
        <w:rPr>
          <w:rFonts w:cs="Arial"/>
          <w:color w:val="202020"/>
          <w:sz w:val="16"/>
          <w:szCs w:val="16"/>
          <w:shd w:val="clear" w:color="auto" w:fill="FFFFFF"/>
        </w:rPr>
        <w:t xml:space="preserve"> 7(12): e51740. </w:t>
      </w:r>
      <w:r>
        <w:rPr>
          <w:rFonts w:cs="Arial"/>
          <w:color w:val="202020"/>
          <w:sz w:val="16"/>
          <w:szCs w:val="16"/>
          <w:shd w:val="clear" w:color="auto" w:fill="FFFFFF"/>
        </w:rPr>
        <w:t xml:space="preserve">Available from: </w:t>
      </w:r>
      <w:hyperlink r:id="rId96" w:history="1">
        <w:r w:rsidRPr="002861DC">
          <w:rPr>
            <w:rStyle w:val="Hyperlink"/>
            <w:rFonts w:cs="Arial"/>
            <w:sz w:val="16"/>
            <w:szCs w:val="16"/>
            <w:shd w:val="clear" w:color="auto" w:fill="FFFFFF"/>
          </w:rPr>
          <w:t>URL</w:t>
        </w:r>
      </w:hyperlink>
    </w:p>
  </w:footnote>
  <w:footnote w:id="109">
    <w:p w14:paraId="36289FFB" w14:textId="77777777" w:rsidR="00B208C1" w:rsidRPr="002861DC" w:rsidRDefault="00B208C1" w:rsidP="00177C08">
      <w:pPr>
        <w:tabs>
          <w:tab w:val="left" w:pos="357"/>
        </w:tabs>
        <w:spacing w:after="40" w:line="240" w:lineRule="auto"/>
        <w:ind w:left="357" w:hanging="357"/>
        <w:jc w:val="both"/>
        <w:rPr>
          <w:rFonts w:ascii="Arial" w:hAnsi="Arial" w:cs="Arial"/>
          <w:sz w:val="16"/>
          <w:szCs w:val="16"/>
        </w:rPr>
      </w:pPr>
      <w:r w:rsidRPr="002861DC">
        <w:rPr>
          <w:rStyle w:val="FootnoteReference"/>
          <w:rFonts w:ascii="Arial" w:hAnsi="Arial" w:cs="Arial"/>
          <w:sz w:val="18"/>
          <w:szCs w:val="18"/>
        </w:rPr>
        <w:footnoteRef/>
      </w:r>
      <w:r w:rsidRPr="002861DC">
        <w:rPr>
          <w:rFonts w:ascii="Arial" w:hAnsi="Arial" w:cs="Arial"/>
          <w:sz w:val="18"/>
          <w:szCs w:val="18"/>
        </w:rPr>
        <w:t xml:space="preserve"> </w:t>
      </w:r>
      <w:r>
        <w:rPr>
          <w:rFonts w:ascii="Arial" w:hAnsi="Arial" w:cs="Arial"/>
          <w:sz w:val="16"/>
          <w:szCs w:val="16"/>
        </w:rPr>
        <w:tab/>
      </w:r>
      <w:r w:rsidRPr="002861DC">
        <w:rPr>
          <w:rFonts w:ascii="Arial" w:hAnsi="Arial" w:cs="Arial"/>
          <w:sz w:val="16"/>
          <w:szCs w:val="16"/>
        </w:rPr>
        <w:t>Quadara A (2015). Implementing trauma-informed systems of care in health settings: The WITH study: State of knowledge paper. Australia’s National Research Organisation for Women’s Safety. Sydney.</w:t>
      </w:r>
      <w:r>
        <w:rPr>
          <w:rFonts w:ascii="Arial" w:hAnsi="Arial" w:cs="Arial"/>
          <w:sz w:val="16"/>
          <w:szCs w:val="16"/>
        </w:rPr>
        <w:t xml:space="preserve"> - </w:t>
      </w:r>
      <w:r w:rsidRPr="002861DC">
        <w:rPr>
          <w:rFonts w:ascii="Arial" w:hAnsi="Arial" w:cs="Arial"/>
          <w:sz w:val="16"/>
          <w:szCs w:val="16"/>
        </w:rPr>
        <w:t>(</w:t>
      </w:r>
      <w:r w:rsidRPr="002861DC">
        <w:rPr>
          <w:rFonts w:ascii="Arial" w:hAnsi="Arial" w:cs="Arial"/>
          <w:i/>
          <w:iCs/>
          <w:sz w:val="16"/>
          <w:szCs w:val="16"/>
        </w:rPr>
        <w:t>ANROWS Landscapes</w:t>
      </w:r>
      <w:r w:rsidRPr="002861DC">
        <w:rPr>
          <w:rFonts w:ascii="Arial" w:hAnsi="Arial" w:cs="Arial"/>
          <w:sz w:val="16"/>
          <w:szCs w:val="16"/>
        </w:rPr>
        <w:t>, 10/2015)</w:t>
      </w:r>
      <w:r>
        <w:rPr>
          <w:rFonts w:ascii="Arial" w:hAnsi="Arial" w:cs="Arial"/>
          <w:sz w:val="16"/>
          <w:szCs w:val="16"/>
        </w:rPr>
        <w:t xml:space="preserve">. Available from: </w:t>
      </w:r>
      <w:hyperlink r:id="rId97" w:history="1">
        <w:r w:rsidRPr="002861DC">
          <w:rPr>
            <w:rStyle w:val="Hyperlink"/>
            <w:rFonts w:ascii="Arial" w:hAnsi="Arial" w:cs="Arial"/>
            <w:sz w:val="16"/>
            <w:szCs w:val="16"/>
          </w:rPr>
          <w:t>URL</w:t>
        </w:r>
      </w:hyperlink>
    </w:p>
    <w:p w14:paraId="4F8E3467" w14:textId="77777777" w:rsidR="00B208C1" w:rsidRPr="00F17AD5" w:rsidRDefault="00B208C1" w:rsidP="00177C08">
      <w:pPr>
        <w:pStyle w:val="FootnoteText"/>
        <w:spacing w:after="40"/>
        <w:ind w:left="-142"/>
        <w:rPr>
          <w:rFonts w:cs="Arial"/>
          <w:sz w:val="16"/>
          <w:szCs w:val="16"/>
        </w:rPr>
      </w:pPr>
    </w:p>
  </w:footnote>
  <w:footnote w:id="110">
    <w:p w14:paraId="5CF41090" w14:textId="2CC32866" w:rsidR="00B208C1" w:rsidRPr="002861DC" w:rsidRDefault="00B208C1" w:rsidP="00045C74">
      <w:pPr>
        <w:pStyle w:val="FootnoteText"/>
        <w:tabs>
          <w:tab w:val="left" w:pos="357"/>
        </w:tabs>
        <w:spacing w:after="40"/>
        <w:ind w:left="357" w:hanging="357"/>
        <w:jc w:val="both"/>
        <w:rPr>
          <w:rFonts w:cs="Arial"/>
          <w:sz w:val="16"/>
          <w:szCs w:val="16"/>
        </w:rPr>
      </w:pPr>
      <w:r w:rsidRPr="002861DC">
        <w:rPr>
          <w:rStyle w:val="FootnoteReference"/>
          <w:rFonts w:cs="Arial"/>
          <w:sz w:val="18"/>
          <w:szCs w:val="18"/>
        </w:rPr>
        <w:footnoteRef/>
      </w:r>
      <w:r w:rsidRPr="002861DC">
        <w:rPr>
          <w:rFonts w:cs="Arial"/>
          <w:sz w:val="18"/>
          <w:szCs w:val="18"/>
        </w:rPr>
        <w:t xml:space="preserve"> </w:t>
      </w:r>
      <w:r>
        <w:rPr>
          <w:rFonts w:cs="Arial"/>
          <w:sz w:val="16"/>
          <w:szCs w:val="16"/>
        </w:rPr>
        <w:tab/>
        <w:t xml:space="preserve">Multicultural Centre for Women’s Health </w:t>
      </w:r>
      <w:r w:rsidRPr="002861DC">
        <w:rPr>
          <w:rFonts w:cs="Arial"/>
          <w:sz w:val="16"/>
          <w:szCs w:val="16"/>
        </w:rPr>
        <w:t>(2020) Policy brief: Immigrant and refugee women’s mental health</w:t>
      </w:r>
      <w:r>
        <w:rPr>
          <w:rFonts w:cs="Arial"/>
          <w:sz w:val="16"/>
          <w:szCs w:val="16"/>
        </w:rPr>
        <w:t xml:space="preserve">. </w:t>
      </w:r>
      <w:r w:rsidRPr="002861DC">
        <w:rPr>
          <w:rFonts w:cs="Arial"/>
          <w:sz w:val="16"/>
          <w:szCs w:val="16"/>
        </w:rPr>
        <w:t>Multicultural Centre for Women’s Health, Collingwood</w:t>
      </w:r>
      <w:r>
        <w:rPr>
          <w:rFonts w:cs="Arial"/>
          <w:sz w:val="16"/>
          <w:szCs w:val="16"/>
        </w:rPr>
        <w:t xml:space="preserve">, Vic. Available from: </w:t>
      </w:r>
      <w:hyperlink r:id="rId98" w:history="1">
        <w:r w:rsidRPr="002861DC">
          <w:rPr>
            <w:rStyle w:val="Hyperlink"/>
            <w:rFonts w:cs="Arial"/>
            <w:sz w:val="16"/>
            <w:szCs w:val="16"/>
          </w:rPr>
          <w:t>URL</w:t>
        </w:r>
      </w:hyperlink>
    </w:p>
  </w:footnote>
  <w:footnote w:id="111">
    <w:p w14:paraId="4990FEFF" w14:textId="77777777" w:rsidR="00B208C1" w:rsidRPr="001807C1" w:rsidRDefault="00B208C1" w:rsidP="00177C08">
      <w:pPr>
        <w:tabs>
          <w:tab w:val="left" w:pos="357"/>
        </w:tabs>
        <w:spacing w:after="40" w:line="240" w:lineRule="auto"/>
        <w:ind w:left="357" w:hanging="357"/>
        <w:jc w:val="both"/>
        <w:rPr>
          <w:rFonts w:ascii="Arial" w:hAnsi="Arial" w:cs="Arial"/>
          <w:sz w:val="16"/>
          <w:szCs w:val="16"/>
        </w:rPr>
      </w:pPr>
      <w:r w:rsidRPr="002861DC">
        <w:rPr>
          <w:rStyle w:val="FootnoteReference"/>
          <w:rFonts w:ascii="Arial" w:hAnsi="Arial" w:cs="Arial"/>
          <w:sz w:val="18"/>
          <w:szCs w:val="18"/>
        </w:rPr>
        <w:footnoteRef/>
      </w:r>
      <w:r w:rsidRPr="002861DC">
        <w:rPr>
          <w:rFonts w:ascii="Arial" w:hAnsi="Arial" w:cs="Arial"/>
          <w:sz w:val="18"/>
          <w:szCs w:val="18"/>
        </w:rPr>
        <w:t xml:space="preserve"> </w:t>
      </w:r>
      <w:r>
        <w:rPr>
          <w:rFonts w:ascii="Arial" w:hAnsi="Arial" w:cs="Arial"/>
          <w:sz w:val="16"/>
          <w:szCs w:val="16"/>
        </w:rPr>
        <w:tab/>
      </w:r>
      <w:r w:rsidRPr="001807C1">
        <w:rPr>
          <w:rFonts w:ascii="Arial" w:hAnsi="Arial" w:cs="Arial"/>
          <w:sz w:val="16"/>
          <w:szCs w:val="16"/>
        </w:rPr>
        <w:t xml:space="preserve">Hall S, </w:t>
      </w:r>
      <w:proofErr w:type="spellStart"/>
      <w:r w:rsidRPr="001807C1">
        <w:rPr>
          <w:rFonts w:ascii="Arial" w:hAnsi="Arial" w:cs="Arial"/>
          <w:sz w:val="16"/>
          <w:szCs w:val="16"/>
        </w:rPr>
        <w:t>Fildes</w:t>
      </w:r>
      <w:proofErr w:type="spellEnd"/>
      <w:r w:rsidRPr="001807C1">
        <w:rPr>
          <w:rFonts w:ascii="Arial" w:hAnsi="Arial" w:cs="Arial"/>
          <w:sz w:val="16"/>
          <w:szCs w:val="16"/>
        </w:rPr>
        <w:t xml:space="preserve"> J, </w:t>
      </w:r>
      <w:proofErr w:type="spellStart"/>
      <w:r w:rsidRPr="001807C1">
        <w:rPr>
          <w:rFonts w:ascii="Arial" w:hAnsi="Arial" w:cs="Arial"/>
          <w:sz w:val="16"/>
          <w:szCs w:val="16"/>
        </w:rPr>
        <w:t>Perrens</w:t>
      </w:r>
      <w:proofErr w:type="spellEnd"/>
      <w:r w:rsidRPr="001807C1">
        <w:rPr>
          <w:rFonts w:ascii="Arial" w:hAnsi="Arial" w:cs="Arial"/>
          <w:sz w:val="16"/>
          <w:szCs w:val="16"/>
        </w:rPr>
        <w:t xml:space="preserve"> B, Plummer J, Carlisle E, Cockayne N, et al. (2019) Can we </w:t>
      </w:r>
      <w:proofErr w:type="gramStart"/>
      <w:r w:rsidRPr="001807C1">
        <w:rPr>
          <w:rFonts w:ascii="Arial" w:hAnsi="Arial" w:cs="Arial"/>
          <w:sz w:val="16"/>
          <w:szCs w:val="16"/>
        </w:rPr>
        <w:t>talk?:</w:t>
      </w:r>
      <w:proofErr w:type="gramEnd"/>
      <w:r w:rsidRPr="001807C1">
        <w:rPr>
          <w:rFonts w:ascii="Arial" w:hAnsi="Arial" w:cs="Arial"/>
          <w:sz w:val="16"/>
          <w:szCs w:val="16"/>
        </w:rPr>
        <w:t xml:space="preserve"> seven year youth mental health report: 2012-2018. Mission Australia, Sydney. Available from: </w:t>
      </w:r>
      <w:hyperlink r:id="rId99" w:history="1">
        <w:r w:rsidRPr="001807C1">
          <w:rPr>
            <w:rStyle w:val="Hyperlink"/>
            <w:rFonts w:ascii="Arial" w:hAnsi="Arial" w:cs="Arial"/>
            <w:sz w:val="16"/>
            <w:szCs w:val="16"/>
          </w:rPr>
          <w:t>URL</w:t>
        </w:r>
      </w:hyperlink>
    </w:p>
  </w:footnote>
  <w:footnote w:id="112">
    <w:p w14:paraId="16476D86" w14:textId="77777777" w:rsidR="00B208C1" w:rsidRDefault="00B208C1" w:rsidP="00C370FE">
      <w:pPr>
        <w:pStyle w:val="FootnoteText"/>
        <w:jc w:val="both"/>
        <w:rPr>
          <w:rFonts w:cs="Arial"/>
          <w:sz w:val="16"/>
          <w:szCs w:val="16"/>
        </w:rPr>
      </w:pPr>
      <w:r w:rsidRPr="00C370FE">
        <w:rPr>
          <w:rFonts w:cs="Arial"/>
          <w:sz w:val="18"/>
          <w:szCs w:val="18"/>
          <w:vertAlign w:val="superscript"/>
        </w:rPr>
        <w:footnoteRef/>
      </w:r>
      <w:r w:rsidRPr="00C370FE">
        <w:rPr>
          <w:rFonts w:cs="Arial"/>
          <w:sz w:val="18"/>
          <w:szCs w:val="18"/>
          <w:vertAlign w:val="superscript"/>
        </w:rPr>
        <w:t xml:space="preserve"> </w:t>
      </w:r>
      <w:r>
        <w:rPr>
          <w:rFonts w:cs="Arial"/>
          <w:sz w:val="18"/>
          <w:szCs w:val="18"/>
          <w:vertAlign w:val="superscript"/>
        </w:rPr>
        <w:t xml:space="preserve"> </w:t>
      </w:r>
      <w:r>
        <w:rPr>
          <w:rFonts w:cs="Arial"/>
          <w:sz w:val="16"/>
          <w:szCs w:val="16"/>
        </w:rPr>
        <w:t xml:space="preserve">  </w:t>
      </w:r>
      <w:r w:rsidRPr="00C370FE">
        <w:rPr>
          <w:rFonts w:cs="Arial"/>
          <w:sz w:val="16"/>
          <w:szCs w:val="16"/>
        </w:rPr>
        <w:t xml:space="preserve">Funston L (2019) In the business of trauma: an intersectional-materialist feminist analysis of ‘trauma informed’ women’s </w:t>
      </w:r>
    </w:p>
    <w:p w14:paraId="06553E4C" w14:textId="109A9B60" w:rsidR="00B208C1" w:rsidRPr="00C370FE" w:rsidRDefault="00B208C1" w:rsidP="00C370FE">
      <w:pPr>
        <w:pStyle w:val="FootnoteText"/>
        <w:ind w:left="357"/>
        <w:jc w:val="both"/>
        <w:rPr>
          <w:rFonts w:cs="Arial"/>
          <w:sz w:val="16"/>
          <w:szCs w:val="16"/>
        </w:rPr>
      </w:pPr>
      <w:r w:rsidRPr="00C370FE">
        <w:rPr>
          <w:rFonts w:cs="Arial"/>
          <w:sz w:val="16"/>
          <w:szCs w:val="16"/>
        </w:rPr>
        <w:t>refuges and crisis accommodation services in Sydney and Vancouver [Thesis] University of Sydney. Sydney Digital Theses. 2019 (4699).</w:t>
      </w:r>
    </w:p>
  </w:footnote>
  <w:footnote w:id="113">
    <w:p w14:paraId="043A076C" w14:textId="6DF1530D" w:rsidR="00B208C1" w:rsidRPr="0019789F" w:rsidRDefault="00B208C1" w:rsidP="00045C74">
      <w:pPr>
        <w:pStyle w:val="EndnoteText"/>
        <w:tabs>
          <w:tab w:val="left" w:pos="0"/>
          <w:tab w:val="left" w:pos="357"/>
        </w:tabs>
        <w:spacing w:after="40"/>
        <w:ind w:left="357" w:hanging="357"/>
        <w:jc w:val="both"/>
        <w:rPr>
          <w:rFonts w:ascii="Arial" w:hAnsi="Arial" w:cs="Arial"/>
          <w:sz w:val="16"/>
          <w:szCs w:val="16"/>
          <w:lang w:val="en-US"/>
        </w:rPr>
      </w:pPr>
      <w:r w:rsidRPr="0019789F">
        <w:rPr>
          <w:rStyle w:val="FootnoteReference"/>
          <w:rFonts w:ascii="Arial" w:hAnsi="Arial" w:cs="Arial"/>
          <w:sz w:val="18"/>
          <w:szCs w:val="18"/>
        </w:rPr>
        <w:footnoteRef/>
      </w:r>
      <w:r w:rsidRPr="0019789F">
        <w:rPr>
          <w:rFonts w:ascii="Arial" w:hAnsi="Arial" w:cs="Arial"/>
          <w:sz w:val="16"/>
          <w:szCs w:val="16"/>
        </w:rPr>
        <w:t xml:space="preserve"> </w:t>
      </w:r>
      <w:r>
        <w:rPr>
          <w:rFonts w:ascii="Arial" w:hAnsi="Arial" w:cs="Arial"/>
          <w:sz w:val="16"/>
          <w:szCs w:val="16"/>
        </w:rPr>
        <w:tab/>
      </w:r>
      <w:r w:rsidRPr="0019789F">
        <w:rPr>
          <w:rFonts w:ascii="Arial" w:hAnsi="Arial" w:cs="Arial"/>
          <w:sz w:val="16"/>
          <w:szCs w:val="16"/>
        </w:rPr>
        <w:fldChar w:fldCharType="begin"/>
      </w:r>
      <w:r w:rsidRPr="0019789F">
        <w:rPr>
          <w:rFonts w:ascii="Arial" w:hAnsi="Arial" w:cs="Arial"/>
          <w:sz w:val="16"/>
          <w:szCs w:val="16"/>
        </w:rPr>
        <w:instrText xml:space="preserve"> ADDIN EN.CITE &lt;EndNote&gt;&lt;Cite&gt;&lt;Author&gt;VicHealth&lt;/Author&gt;&lt;Year&gt;2017&lt;/Year&gt;&lt;RecNum&gt;830&lt;/RecNum&gt;&lt;DisplayText&gt;VicHealth (2017) Youth 12-17 : physical activity insights&lt;/DisplayText&gt;&lt;record&gt;&lt;rec-number&gt;830&lt;/rec-number&gt;&lt;foreign-keys&gt;&lt;key app="EN" db-id="ssa09sw2ttazvjex2225xtt350ewfx2vadfs"&gt;830&lt;/key&gt;&lt;/foreign-keys&gt;&lt;ref-type name="Book"&gt;6&lt;/ref-type&gt;&lt;contributors&gt;&lt;authors&gt;&lt;author&gt;VicHealth,&lt;/author&gt;&lt;/authors&gt;&lt;/contributors&gt;&lt;titles&gt;&lt;title&gt;Youth 12-17 : physical activity insights&lt;/title&gt;&lt;secondary-title&gt;Physical Activity Across Life Stages)&lt;/secondary-title&gt;&lt;/titles&gt;&lt;dates&gt;&lt;year&gt;2017&lt;/year&gt;&lt;/dates&gt;&lt;pub-location&gt;Melbourne&lt;/pub-location&gt;&lt;publisher&gt;Victorian Health Promotion Foundation&lt;/publisher&gt;&lt;urls&gt;&lt;related-urls&gt;&lt;url&gt;https://www.vichealth.vic.gov.au/lifestages&lt;/url&gt;&lt;/related-urls&gt;&lt;/urls&gt;&lt;/record&gt;&lt;/Cite&gt;&lt;/EndNote&gt;</w:instrText>
      </w:r>
      <w:r w:rsidRPr="0019789F">
        <w:rPr>
          <w:rFonts w:ascii="Arial" w:hAnsi="Arial" w:cs="Arial"/>
          <w:sz w:val="16"/>
          <w:szCs w:val="16"/>
        </w:rPr>
        <w:fldChar w:fldCharType="separate"/>
      </w:r>
      <w:r w:rsidRPr="0019789F">
        <w:rPr>
          <w:rFonts w:ascii="Arial" w:hAnsi="Arial" w:cs="Arial"/>
          <w:noProof/>
          <w:sz w:val="16"/>
          <w:szCs w:val="16"/>
        </w:rPr>
        <w:t>VicHealth (2017) Youth 12-17: physical activity insights</w:t>
      </w:r>
      <w:r w:rsidRPr="0019789F">
        <w:rPr>
          <w:rFonts w:ascii="Arial" w:hAnsi="Arial" w:cs="Arial"/>
          <w:sz w:val="16"/>
          <w:szCs w:val="16"/>
        </w:rPr>
        <w:fldChar w:fldCharType="end"/>
      </w:r>
      <w:r>
        <w:rPr>
          <w:rFonts w:ascii="Arial" w:hAnsi="Arial" w:cs="Arial"/>
          <w:sz w:val="16"/>
          <w:szCs w:val="16"/>
        </w:rPr>
        <w:t>. Victorian Health Promotion Foundation. Carlton South, Vic.</w:t>
      </w:r>
      <w:r w:rsidRPr="0019789F">
        <w:rPr>
          <w:rFonts w:ascii="Arial" w:hAnsi="Arial" w:cs="Arial"/>
          <w:sz w:val="16"/>
          <w:szCs w:val="16"/>
        </w:rPr>
        <w:t>, p. 5.</w:t>
      </w:r>
      <w:r>
        <w:rPr>
          <w:rFonts w:ascii="Arial" w:hAnsi="Arial" w:cs="Arial"/>
          <w:sz w:val="16"/>
          <w:szCs w:val="16"/>
        </w:rPr>
        <w:t xml:space="preserve"> Available from: </w:t>
      </w:r>
      <w:hyperlink r:id="rId100" w:history="1">
        <w:r w:rsidRPr="0019789F">
          <w:rPr>
            <w:rStyle w:val="Hyperlink"/>
            <w:rFonts w:ascii="Arial" w:hAnsi="Arial" w:cs="Arial"/>
            <w:sz w:val="16"/>
            <w:szCs w:val="16"/>
          </w:rPr>
          <w:t>URL</w:t>
        </w:r>
      </w:hyperlink>
    </w:p>
  </w:footnote>
  <w:footnote w:id="114">
    <w:p w14:paraId="2049FA62" w14:textId="174D95E5" w:rsidR="00B208C1" w:rsidRPr="0019789F" w:rsidRDefault="00B208C1" w:rsidP="00045C74">
      <w:pPr>
        <w:pStyle w:val="FootnoteText"/>
        <w:tabs>
          <w:tab w:val="left" w:pos="357"/>
        </w:tabs>
        <w:spacing w:after="40"/>
        <w:ind w:left="357" w:hanging="357"/>
        <w:jc w:val="both"/>
        <w:rPr>
          <w:rFonts w:cs="Arial"/>
          <w:sz w:val="16"/>
          <w:szCs w:val="16"/>
        </w:rPr>
      </w:pPr>
      <w:r w:rsidRPr="0019789F">
        <w:rPr>
          <w:rStyle w:val="FootnoteReference"/>
          <w:rFonts w:cs="Arial"/>
          <w:sz w:val="18"/>
          <w:szCs w:val="18"/>
        </w:rPr>
        <w:footnoteRef/>
      </w:r>
      <w:r w:rsidRPr="0019789F">
        <w:rPr>
          <w:rFonts w:cs="Arial"/>
          <w:sz w:val="16"/>
          <w:szCs w:val="16"/>
        </w:rPr>
        <w:t xml:space="preserve"> </w:t>
      </w:r>
      <w:r>
        <w:rPr>
          <w:rFonts w:cs="Arial"/>
          <w:sz w:val="16"/>
          <w:szCs w:val="16"/>
        </w:rPr>
        <w:tab/>
      </w:r>
      <w:r w:rsidRPr="0019789F">
        <w:rPr>
          <w:rFonts w:cs="Arial"/>
          <w:sz w:val="16"/>
          <w:szCs w:val="16"/>
        </w:rPr>
        <w:t xml:space="preserve">VicHeath (2020) </w:t>
      </w:r>
      <w:r w:rsidRPr="00CA37D7">
        <w:rPr>
          <w:rFonts w:cs="Arial"/>
          <w:sz w:val="16"/>
          <w:szCs w:val="16"/>
        </w:rPr>
        <w:t>Sport participation in Victoria, 2018</w:t>
      </w:r>
      <w:r>
        <w:rPr>
          <w:rFonts w:cs="Arial"/>
          <w:sz w:val="16"/>
          <w:szCs w:val="16"/>
        </w:rPr>
        <w:t>:</w:t>
      </w:r>
      <w:r w:rsidRPr="00CA37D7">
        <w:rPr>
          <w:rFonts w:cs="Arial"/>
          <w:sz w:val="16"/>
          <w:szCs w:val="16"/>
        </w:rPr>
        <w:t xml:space="preserve"> Research summary</w:t>
      </w:r>
      <w:r>
        <w:rPr>
          <w:rFonts w:cs="Arial"/>
          <w:sz w:val="16"/>
          <w:szCs w:val="16"/>
        </w:rPr>
        <w:t>:</w:t>
      </w:r>
      <w:r w:rsidRPr="00CA37D7">
        <w:rPr>
          <w:rFonts w:cs="Arial"/>
          <w:sz w:val="16"/>
          <w:szCs w:val="16"/>
        </w:rPr>
        <w:t xml:space="preserve"> Part 1: Key findings at a glance</w:t>
      </w:r>
      <w:r>
        <w:rPr>
          <w:rFonts w:cs="Arial"/>
          <w:sz w:val="16"/>
          <w:szCs w:val="16"/>
        </w:rPr>
        <w:t>.</w:t>
      </w:r>
      <w:r w:rsidRPr="0019789F">
        <w:rPr>
          <w:rFonts w:cs="Arial"/>
          <w:sz w:val="16"/>
          <w:szCs w:val="16"/>
        </w:rPr>
        <w:t xml:space="preserve"> </w:t>
      </w:r>
      <w:r>
        <w:rPr>
          <w:rFonts w:cs="Arial"/>
          <w:sz w:val="16"/>
          <w:szCs w:val="16"/>
        </w:rPr>
        <w:t xml:space="preserve">Victorian Health Promotion Foundation, Carlton South, Vic. Available from: </w:t>
      </w:r>
      <w:hyperlink r:id="rId101" w:history="1">
        <w:r w:rsidRPr="00CA37D7">
          <w:rPr>
            <w:rStyle w:val="Hyperlink"/>
            <w:rFonts w:cs="Arial"/>
            <w:sz w:val="16"/>
            <w:szCs w:val="16"/>
          </w:rPr>
          <w:t>URL</w:t>
        </w:r>
      </w:hyperlink>
    </w:p>
  </w:footnote>
  <w:footnote w:id="115">
    <w:p w14:paraId="5117409E" w14:textId="693EFFBC" w:rsidR="00B208C1" w:rsidRPr="0019789F" w:rsidRDefault="00B208C1" w:rsidP="00045C74">
      <w:pPr>
        <w:pStyle w:val="FootnoteText"/>
        <w:tabs>
          <w:tab w:val="left" w:pos="357"/>
        </w:tabs>
        <w:spacing w:after="40"/>
        <w:ind w:left="357" w:hanging="357"/>
        <w:jc w:val="both"/>
        <w:rPr>
          <w:rFonts w:cs="Arial"/>
          <w:sz w:val="16"/>
          <w:szCs w:val="16"/>
        </w:rPr>
      </w:pPr>
      <w:r w:rsidRPr="0019789F">
        <w:rPr>
          <w:rStyle w:val="FootnoteReference"/>
          <w:rFonts w:cs="Arial"/>
          <w:sz w:val="18"/>
          <w:szCs w:val="18"/>
        </w:rPr>
        <w:footnoteRef/>
      </w:r>
      <w:r w:rsidRPr="0019789F">
        <w:rPr>
          <w:rFonts w:cs="Arial"/>
          <w:sz w:val="18"/>
          <w:szCs w:val="18"/>
        </w:rPr>
        <w:t xml:space="preserve"> </w:t>
      </w:r>
      <w:r>
        <w:rPr>
          <w:rFonts w:cs="Arial"/>
          <w:sz w:val="16"/>
          <w:szCs w:val="16"/>
        </w:rPr>
        <w:tab/>
        <w:t xml:space="preserve">ibid. Available from: </w:t>
      </w:r>
      <w:hyperlink r:id="rId102" w:history="1">
        <w:r w:rsidRPr="00CA37D7">
          <w:rPr>
            <w:rStyle w:val="Hyperlink"/>
            <w:rFonts w:cs="Arial"/>
            <w:sz w:val="16"/>
            <w:szCs w:val="16"/>
          </w:rPr>
          <w:t>URL</w:t>
        </w:r>
      </w:hyperlink>
    </w:p>
  </w:footnote>
  <w:footnote w:id="116">
    <w:p w14:paraId="531C719A" w14:textId="50C44554" w:rsidR="00B208C1" w:rsidRPr="0019789F" w:rsidRDefault="00B208C1" w:rsidP="00045C74">
      <w:pPr>
        <w:pStyle w:val="FootnoteText"/>
        <w:tabs>
          <w:tab w:val="left" w:pos="0"/>
          <w:tab w:val="left" w:pos="357"/>
        </w:tabs>
        <w:spacing w:after="40"/>
        <w:ind w:left="357" w:hanging="357"/>
        <w:jc w:val="both"/>
        <w:rPr>
          <w:rFonts w:cs="Arial"/>
          <w:sz w:val="16"/>
          <w:szCs w:val="16"/>
        </w:rPr>
      </w:pPr>
      <w:r w:rsidRPr="0019789F">
        <w:rPr>
          <w:rStyle w:val="FootnoteReference"/>
          <w:rFonts w:cs="Arial"/>
          <w:sz w:val="18"/>
          <w:szCs w:val="18"/>
        </w:rPr>
        <w:footnoteRef/>
      </w:r>
      <w:r w:rsidRPr="00D131F3">
        <w:rPr>
          <w:sz w:val="16"/>
          <w:szCs w:val="16"/>
        </w:rPr>
        <w:tab/>
      </w:r>
      <w:r w:rsidRPr="00D131F3">
        <w:rPr>
          <w:rFonts w:cs="Arial"/>
          <w:sz w:val="16"/>
          <w:szCs w:val="16"/>
        </w:rPr>
        <w:t>Eime R (2016) VicHealth</w:t>
      </w:r>
      <w:r w:rsidRPr="00D131F3">
        <w:rPr>
          <w:rFonts w:cs="Arial"/>
          <w:sz w:val="18"/>
          <w:szCs w:val="18"/>
        </w:rPr>
        <w:t xml:space="preserve"> </w:t>
      </w:r>
      <w:r>
        <w:rPr>
          <w:rFonts w:cs="Arial"/>
          <w:sz w:val="16"/>
          <w:szCs w:val="16"/>
        </w:rPr>
        <w:t xml:space="preserve">Research Practice Fellowship -  Physical Activity: final report. Sport and Recreation Spatial,  Available from: </w:t>
      </w:r>
      <w:hyperlink r:id="rId103" w:history="1">
        <w:r w:rsidRPr="00D131F3">
          <w:rPr>
            <w:rStyle w:val="Hyperlink"/>
            <w:rFonts w:cs="Arial"/>
            <w:sz w:val="16"/>
            <w:szCs w:val="16"/>
          </w:rPr>
          <w:t>URL</w:t>
        </w:r>
      </w:hyperlink>
    </w:p>
  </w:footnote>
  <w:footnote w:id="117">
    <w:p w14:paraId="0416BE06" w14:textId="19456C04" w:rsidR="00B208C1" w:rsidRPr="0019789F" w:rsidRDefault="00B208C1" w:rsidP="00045C74">
      <w:pPr>
        <w:pStyle w:val="FootnoteText"/>
        <w:tabs>
          <w:tab w:val="left" w:pos="357"/>
        </w:tabs>
        <w:spacing w:after="40"/>
        <w:ind w:left="357" w:hanging="357"/>
        <w:jc w:val="both"/>
        <w:rPr>
          <w:rFonts w:cs="Arial"/>
          <w:sz w:val="16"/>
          <w:szCs w:val="16"/>
        </w:rPr>
      </w:pPr>
      <w:r w:rsidRPr="0019789F">
        <w:rPr>
          <w:rStyle w:val="FootnoteReference"/>
          <w:rFonts w:cs="Arial"/>
          <w:sz w:val="18"/>
          <w:szCs w:val="18"/>
        </w:rPr>
        <w:footnoteRef/>
      </w:r>
      <w:r w:rsidRPr="0019789F">
        <w:rPr>
          <w:rFonts w:cs="Arial"/>
          <w:sz w:val="18"/>
          <w:szCs w:val="18"/>
        </w:rPr>
        <w:t xml:space="preserve"> </w:t>
      </w:r>
      <w:r>
        <w:rPr>
          <w:rFonts w:cs="Arial"/>
          <w:sz w:val="16"/>
          <w:szCs w:val="16"/>
        </w:rPr>
        <w:tab/>
      </w:r>
      <w:r w:rsidRPr="0019789F">
        <w:rPr>
          <w:rFonts w:cs="Arial"/>
          <w:sz w:val="16"/>
          <w:szCs w:val="16"/>
        </w:rPr>
        <w:t xml:space="preserve">VicHeath (2020) </w:t>
      </w:r>
      <w:r w:rsidRPr="00CA37D7">
        <w:rPr>
          <w:rFonts w:cs="Arial"/>
          <w:sz w:val="16"/>
          <w:szCs w:val="16"/>
        </w:rPr>
        <w:t>Sport participation in Victoria, 2018</w:t>
      </w:r>
      <w:r>
        <w:rPr>
          <w:rFonts w:cs="Arial"/>
          <w:sz w:val="16"/>
          <w:szCs w:val="16"/>
        </w:rPr>
        <w:t>:</w:t>
      </w:r>
      <w:r w:rsidRPr="00CA37D7">
        <w:rPr>
          <w:rFonts w:cs="Arial"/>
          <w:sz w:val="16"/>
          <w:szCs w:val="16"/>
        </w:rPr>
        <w:t xml:space="preserve"> Research summary</w:t>
      </w:r>
      <w:r>
        <w:rPr>
          <w:rFonts w:cs="Arial"/>
          <w:sz w:val="16"/>
          <w:szCs w:val="16"/>
        </w:rPr>
        <w:t>:</w:t>
      </w:r>
      <w:r w:rsidRPr="00CA37D7">
        <w:rPr>
          <w:rFonts w:cs="Arial"/>
          <w:sz w:val="16"/>
          <w:szCs w:val="16"/>
        </w:rPr>
        <w:t xml:space="preserve"> Part 2: Discussion of key findings</w:t>
      </w:r>
      <w:r w:rsidRPr="0019789F">
        <w:rPr>
          <w:rFonts w:cs="Arial"/>
          <w:sz w:val="16"/>
          <w:szCs w:val="16"/>
        </w:rPr>
        <w:t xml:space="preserve">. </w:t>
      </w:r>
      <w:r>
        <w:rPr>
          <w:rFonts w:cs="Arial"/>
          <w:sz w:val="16"/>
          <w:szCs w:val="16"/>
        </w:rPr>
        <w:t xml:space="preserve">Victorian Health Promotion Foundation, Carlton South, Vic. Available from: </w:t>
      </w:r>
      <w:hyperlink r:id="rId104" w:history="1">
        <w:r w:rsidRPr="00CA37D7">
          <w:rPr>
            <w:rStyle w:val="Hyperlink"/>
            <w:rFonts w:cs="Arial"/>
            <w:sz w:val="16"/>
            <w:szCs w:val="16"/>
          </w:rPr>
          <w:t>URL</w:t>
        </w:r>
      </w:hyperlink>
    </w:p>
  </w:footnote>
  <w:footnote w:id="118">
    <w:p w14:paraId="326E22FF" w14:textId="6DAF82E9" w:rsidR="00B208C1" w:rsidRPr="0019789F" w:rsidRDefault="00B208C1" w:rsidP="00045C74">
      <w:pPr>
        <w:pStyle w:val="FootnoteText"/>
        <w:tabs>
          <w:tab w:val="left" w:pos="0"/>
          <w:tab w:val="left" w:pos="357"/>
        </w:tabs>
        <w:spacing w:after="40"/>
        <w:ind w:left="357" w:hanging="357"/>
        <w:rPr>
          <w:rFonts w:cs="Arial"/>
          <w:sz w:val="16"/>
          <w:szCs w:val="16"/>
        </w:rPr>
      </w:pPr>
      <w:r w:rsidRPr="009A27CF">
        <w:rPr>
          <w:rStyle w:val="FootnoteReference"/>
          <w:rFonts w:cs="Arial"/>
          <w:sz w:val="18"/>
          <w:szCs w:val="18"/>
        </w:rPr>
        <w:footnoteRef/>
      </w:r>
      <w:r w:rsidRPr="0019789F">
        <w:rPr>
          <w:rFonts w:cs="Arial"/>
          <w:sz w:val="16"/>
          <w:szCs w:val="16"/>
        </w:rPr>
        <w:t xml:space="preserve"> </w:t>
      </w:r>
      <w:r>
        <w:rPr>
          <w:rFonts w:cs="Arial"/>
          <w:sz w:val="16"/>
          <w:szCs w:val="16"/>
        </w:rPr>
        <w:tab/>
      </w:r>
      <w:r w:rsidRPr="0019789F">
        <w:rPr>
          <w:rFonts w:cs="Arial"/>
          <w:sz w:val="16"/>
          <w:szCs w:val="16"/>
        </w:rPr>
        <w:t>Webster A, Anderson R, Barr M (2017) Growing up unequal: how sex and gender impact young women's health and wellbeing. Women's Health Victoria, Melbourne. - (</w:t>
      </w:r>
      <w:r w:rsidRPr="0019789F">
        <w:rPr>
          <w:rFonts w:cs="Arial"/>
          <w:i/>
          <w:iCs/>
          <w:sz w:val="16"/>
          <w:szCs w:val="16"/>
        </w:rPr>
        <w:t>Women's Health Issues Paper</w:t>
      </w:r>
      <w:r w:rsidRPr="0019789F">
        <w:rPr>
          <w:rFonts w:cs="Arial"/>
          <w:sz w:val="16"/>
          <w:szCs w:val="16"/>
        </w:rPr>
        <w:t xml:space="preserve">; 12). Available from: </w:t>
      </w:r>
      <w:hyperlink r:id="rId105" w:history="1">
        <w:r w:rsidRPr="0019789F">
          <w:rPr>
            <w:rStyle w:val="Hyperlink"/>
            <w:rFonts w:cs="Arial"/>
            <w:sz w:val="16"/>
            <w:szCs w:val="16"/>
          </w:rPr>
          <w:t>URL</w:t>
        </w:r>
      </w:hyperlink>
    </w:p>
  </w:footnote>
  <w:footnote w:id="119">
    <w:p w14:paraId="212A8994" w14:textId="7924F2A2" w:rsidR="00B208C1" w:rsidRPr="005E557A" w:rsidRDefault="00B208C1" w:rsidP="00045C74">
      <w:pPr>
        <w:pStyle w:val="FootnoteText"/>
        <w:tabs>
          <w:tab w:val="left" w:pos="0"/>
          <w:tab w:val="left" w:pos="357"/>
        </w:tabs>
        <w:spacing w:after="40"/>
        <w:ind w:left="357" w:hanging="357"/>
        <w:jc w:val="both"/>
        <w:rPr>
          <w:rFonts w:cs="Arial"/>
          <w:sz w:val="16"/>
          <w:szCs w:val="16"/>
        </w:rPr>
      </w:pPr>
      <w:r w:rsidRPr="007E34A7">
        <w:rPr>
          <w:rStyle w:val="FootnoteReference"/>
          <w:rFonts w:cs="Arial"/>
          <w:sz w:val="18"/>
          <w:szCs w:val="18"/>
        </w:rPr>
        <w:footnoteRef/>
      </w:r>
      <w:r w:rsidRPr="007E34A7">
        <w:rPr>
          <w:rFonts w:cs="Arial"/>
          <w:sz w:val="18"/>
          <w:szCs w:val="18"/>
        </w:rPr>
        <w:t xml:space="preserve"> </w:t>
      </w:r>
      <w:r>
        <w:rPr>
          <w:rFonts w:cs="Arial"/>
          <w:sz w:val="16"/>
          <w:szCs w:val="16"/>
        </w:rPr>
        <w:tab/>
      </w:r>
      <w:r w:rsidRPr="005E557A">
        <w:rPr>
          <w:rFonts w:cs="Arial"/>
          <w:sz w:val="16"/>
          <w:szCs w:val="16"/>
        </w:rPr>
        <w:fldChar w:fldCharType="begin"/>
      </w:r>
      <w:r w:rsidRPr="005E557A">
        <w:rPr>
          <w:rFonts w:cs="Arial"/>
          <w:sz w:val="16"/>
          <w:szCs w:val="16"/>
        </w:rPr>
        <w:instrText xml:space="preserve"> ADDIN EN.CITE &lt;EndNote&gt;&lt;Cite&gt;&lt;Author&gt;van Bueren&lt;/Author&gt;&lt;Year&gt;2016&lt;/Year&gt;&lt;RecNum&gt;731&lt;/RecNum&gt;&lt;DisplayText&gt;van Bueren, Elliott and Farnam (2016) 2016 Physical Activity and Sport Participation Campaign : insights report&lt;/DisplayText&gt;&lt;record&gt;&lt;rec-number&gt;731&lt;/rec-number&gt;&lt;foreign-keys&gt;&lt;key app="EN" db-id="ssa09sw2ttazvjex2225xtt350ewfx2vadfs"&gt;731&lt;/key&gt;&lt;/foreign-keys&gt;&lt;ref-type name="Book"&gt;6&lt;/ref-type&gt;&lt;contributors&gt;&lt;authors&gt;&lt;author&gt;van Bueren, Donna&lt;/author&gt;&lt;author&gt;Elliott, Sophie&lt;/author&gt;&lt;author&gt;Farnam, Celia&lt;/author&gt;&lt;/authors&gt;&lt;/contributors&gt;&lt;titles&gt;&lt;title&gt;2016 Physical Activity and Sport Participation Campaign : insights report&lt;/title&gt;&lt;/titles&gt;&lt;dates&gt;&lt;year&gt;2016&lt;/year&gt;&lt;/dates&gt;&lt;pub-location&gt;North Sydney&lt;/pub-location&gt;&lt;publisher&gt;TNS Social Research&lt;/publisher&gt;&lt;urls&gt;&lt;related-urls&gt;&lt;url&gt;https://campaigns.health.gov.au/sites/g/files/net3246/f/insights_report.pdf&lt;/url&gt;&lt;/related-urls&gt;&lt;/urls&gt;&lt;/record&gt;&lt;/Cite&gt;&lt;/EndNote&gt;</w:instrText>
      </w:r>
      <w:r w:rsidRPr="005E557A">
        <w:rPr>
          <w:rFonts w:cs="Arial"/>
          <w:sz w:val="16"/>
          <w:szCs w:val="16"/>
        </w:rPr>
        <w:fldChar w:fldCharType="separate"/>
      </w:r>
      <w:r w:rsidRPr="005E557A">
        <w:rPr>
          <w:rFonts w:cs="Arial"/>
          <w:noProof/>
          <w:sz w:val="16"/>
          <w:szCs w:val="16"/>
        </w:rPr>
        <w:t xml:space="preserve">van Bueren D, Elliott S, Farnam C (2016) </w:t>
      </w:r>
      <w:hyperlink r:id="rId106" w:history="1">
        <w:r w:rsidRPr="005E557A">
          <w:rPr>
            <w:rFonts w:cs="Arial"/>
            <w:noProof/>
            <w:sz w:val="16"/>
            <w:szCs w:val="16"/>
          </w:rPr>
          <w:t xml:space="preserve">2016 Physical </w:t>
        </w:r>
        <w:r>
          <w:rPr>
            <w:rFonts w:cs="Arial"/>
            <w:noProof/>
            <w:sz w:val="16"/>
            <w:szCs w:val="16"/>
          </w:rPr>
          <w:t>a</w:t>
        </w:r>
        <w:r w:rsidRPr="005E557A">
          <w:rPr>
            <w:rFonts w:cs="Arial"/>
            <w:noProof/>
            <w:sz w:val="16"/>
            <w:szCs w:val="16"/>
          </w:rPr>
          <w:t xml:space="preserve">ctivity and </w:t>
        </w:r>
        <w:r>
          <w:rPr>
            <w:rFonts w:cs="Arial"/>
            <w:noProof/>
            <w:sz w:val="16"/>
            <w:szCs w:val="16"/>
          </w:rPr>
          <w:t>s</w:t>
        </w:r>
        <w:r w:rsidRPr="005E557A">
          <w:rPr>
            <w:rFonts w:cs="Arial"/>
            <w:noProof/>
            <w:sz w:val="16"/>
            <w:szCs w:val="16"/>
          </w:rPr>
          <w:t xml:space="preserve">port </w:t>
        </w:r>
        <w:r>
          <w:rPr>
            <w:rFonts w:cs="Arial"/>
            <w:noProof/>
            <w:sz w:val="16"/>
            <w:szCs w:val="16"/>
          </w:rPr>
          <w:t>p</w:t>
        </w:r>
        <w:r w:rsidRPr="005E557A">
          <w:rPr>
            <w:rFonts w:cs="Arial"/>
            <w:noProof/>
            <w:sz w:val="16"/>
            <w:szCs w:val="16"/>
          </w:rPr>
          <w:t xml:space="preserve">articipation </w:t>
        </w:r>
        <w:r>
          <w:rPr>
            <w:rFonts w:cs="Arial"/>
            <w:noProof/>
            <w:sz w:val="16"/>
            <w:szCs w:val="16"/>
          </w:rPr>
          <w:t>c</w:t>
        </w:r>
        <w:r w:rsidRPr="005E557A">
          <w:rPr>
            <w:rFonts w:cs="Arial"/>
            <w:noProof/>
            <w:sz w:val="16"/>
            <w:szCs w:val="16"/>
          </w:rPr>
          <w:t>ampaign: insights repor</w:t>
        </w:r>
      </w:hyperlink>
      <w:r w:rsidRPr="005E557A">
        <w:rPr>
          <w:rFonts w:cs="Arial"/>
          <w:noProof/>
          <w:sz w:val="16"/>
          <w:szCs w:val="16"/>
        </w:rPr>
        <w:t>t</w:t>
      </w:r>
      <w:r w:rsidRPr="005E557A">
        <w:rPr>
          <w:rFonts w:cs="Arial"/>
          <w:sz w:val="16"/>
          <w:szCs w:val="16"/>
        </w:rPr>
        <w:fldChar w:fldCharType="end"/>
      </w:r>
      <w:r>
        <w:rPr>
          <w:rFonts w:cs="Arial"/>
          <w:sz w:val="16"/>
          <w:szCs w:val="16"/>
        </w:rPr>
        <w:t>. TNS Social Research</w:t>
      </w:r>
      <w:r w:rsidRPr="005E557A">
        <w:rPr>
          <w:rFonts w:cs="Arial"/>
          <w:sz w:val="16"/>
          <w:szCs w:val="16"/>
        </w:rPr>
        <w:t xml:space="preserve">, </w:t>
      </w:r>
      <w:r>
        <w:rPr>
          <w:rFonts w:cs="Arial"/>
          <w:sz w:val="16"/>
          <w:szCs w:val="16"/>
        </w:rPr>
        <w:t xml:space="preserve">North Sydney. </w:t>
      </w:r>
      <w:r w:rsidRPr="005E557A">
        <w:rPr>
          <w:rFonts w:cs="Arial"/>
          <w:sz w:val="16"/>
          <w:szCs w:val="16"/>
        </w:rPr>
        <w:t>p. 7.</w:t>
      </w:r>
      <w:r>
        <w:rPr>
          <w:rFonts w:cs="Arial"/>
          <w:sz w:val="16"/>
          <w:szCs w:val="16"/>
        </w:rPr>
        <w:t xml:space="preserve"> Available from: </w:t>
      </w:r>
      <w:hyperlink r:id="rId107" w:history="1">
        <w:r w:rsidRPr="00306E02">
          <w:rPr>
            <w:rStyle w:val="Hyperlink"/>
            <w:rFonts w:cs="Arial"/>
            <w:sz w:val="16"/>
            <w:szCs w:val="16"/>
          </w:rPr>
          <w:t>URL</w:t>
        </w:r>
      </w:hyperlink>
    </w:p>
  </w:footnote>
  <w:footnote w:id="120">
    <w:p w14:paraId="790195BD" w14:textId="536BE153" w:rsidR="00B208C1" w:rsidRPr="005E557A" w:rsidRDefault="00B208C1" w:rsidP="00045C74">
      <w:pPr>
        <w:pStyle w:val="FootnoteText"/>
        <w:tabs>
          <w:tab w:val="left" w:pos="0"/>
          <w:tab w:val="left" w:pos="357"/>
        </w:tabs>
        <w:spacing w:after="40"/>
        <w:ind w:left="357" w:hanging="357"/>
        <w:jc w:val="both"/>
        <w:rPr>
          <w:rFonts w:cs="Arial"/>
          <w:sz w:val="16"/>
          <w:szCs w:val="16"/>
          <w:lang w:val="en-US"/>
        </w:rPr>
      </w:pPr>
      <w:r w:rsidRPr="007E34A7">
        <w:rPr>
          <w:rStyle w:val="FootnoteReference"/>
          <w:rFonts w:cs="Arial"/>
          <w:sz w:val="18"/>
          <w:szCs w:val="18"/>
        </w:rPr>
        <w:footnoteRef/>
      </w:r>
      <w:r w:rsidRPr="007E34A7">
        <w:rPr>
          <w:rFonts w:cs="Arial"/>
          <w:sz w:val="18"/>
          <w:szCs w:val="18"/>
        </w:rPr>
        <w:t xml:space="preserve"> </w:t>
      </w:r>
      <w:r>
        <w:rPr>
          <w:rFonts w:cs="Arial"/>
          <w:sz w:val="16"/>
          <w:szCs w:val="16"/>
        </w:rPr>
        <w:tab/>
      </w:r>
      <w:r w:rsidRPr="005E557A">
        <w:rPr>
          <w:rFonts w:cs="Arial"/>
          <w:sz w:val="16"/>
          <w:szCs w:val="16"/>
        </w:rPr>
        <w:fldChar w:fldCharType="begin"/>
      </w:r>
      <w:r w:rsidRPr="005E557A">
        <w:rPr>
          <w:rFonts w:cs="Arial"/>
          <w:sz w:val="16"/>
          <w:szCs w:val="16"/>
        </w:rPr>
        <w:instrText xml:space="preserve"> ADDIN EN.CITE &lt;EndNote&gt;&lt;Cite&gt;&lt;Author&gt;Abbott&lt;/Author&gt;&lt;Year&gt;2013&lt;/Year&gt;&lt;RecNum&gt;732&lt;/RecNum&gt;&lt;DisplayText&gt;Abbott (2013) Teaching girls to prioritise function over form for better body image. &lt;style face="italic"&gt;The conversation&lt;/style&gt; (Feb 15)&lt;/DisplayText&gt;&lt;record&gt;&lt;rec-number&gt;732&lt;/rec-number&gt;&lt;foreign-keys&gt;&lt;key app="EN" db-id="ssa09sw2ttazvjex2225xtt350ewfx2vadfs"&gt;732&lt;/key&gt;&lt;/foreign-keys&gt;&lt;ref-type name="Journal Article"&gt;17&lt;/ref-type&gt;&lt;contributors&gt;&lt;authors&gt;&lt;author&gt;Abbott, Bree&lt;/author&gt;&lt;/authors&gt;&lt;/contributors&gt;&lt;titles&gt;&lt;title&gt;Teaching girls to prioritise function over form for better body image&lt;/title&gt;&lt;secondary-title&gt;The conversation&lt;/secondary-title&gt;&lt;/titles&gt;&lt;periodical&gt;&lt;full-title&gt;The Conversation&lt;/full-title&gt;&lt;/periodical&gt;&lt;number&gt;Feb 15&lt;/number&gt;&lt;dates&gt;&lt;year&gt;2013&lt;/year&gt;&lt;/dates&gt;&lt;urls&gt;&lt;related-urls&gt;&lt;url&gt;https://theconversation.com/teaching-girls-to-prioritise-function-over-form-for-better-body-image-11620&lt;/url&gt;&lt;/related-urls&gt;&lt;/urls&gt;&lt;/record&gt;&lt;/Cite&gt;&lt;/EndNote&gt;</w:instrText>
      </w:r>
      <w:r w:rsidRPr="005E557A">
        <w:rPr>
          <w:rFonts w:cs="Arial"/>
          <w:sz w:val="16"/>
          <w:szCs w:val="16"/>
        </w:rPr>
        <w:fldChar w:fldCharType="separate"/>
      </w:r>
      <w:r w:rsidRPr="005E557A">
        <w:rPr>
          <w:rFonts w:cs="Arial"/>
          <w:noProof/>
          <w:sz w:val="16"/>
          <w:szCs w:val="16"/>
        </w:rPr>
        <w:t xml:space="preserve">Abbott (2013) Teaching girls to prioritise function over form for better body image. </w:t>
      </w:r>
      <w:r w:rsidRPr="005E557A">
        <w:rPr>
          <w:rFonts w:cs="Arial"/>
          <w:i/>
          <w:noProof/>
          <w:sz w:val="16"/>
          <w:szCs w:val="16"/>
        </w:rPr>
        <w:t xml:space="preserve">The </w:t>
      </w:r>
      <w:r>
        <w:rPr>
          <w:rFonts w:cs="Arial"/>
          <w:i/>
          <w:noProof/>
          <w:sz w:val="16"/>
          <w:szCs w:val="16"/>
        </w:rPr>
        <w:t>Co</w:t>
      </w:r>
      <w:r w:rsidRPr="005E557A">
        <w:rPr>
          <w:rFonts w:cs="Arial"/>
          <w:i/>
          <w:noProof/>
          <w:sz w:val="16"/>
          <w:szCs w:val="16"/>
        </w:rPr>
        <w:t>nversation</w:t>
      </w:r>
      <w:r w:rsidRPr="005E557A">
        <w:rPr>
          <w:rFonts w:cs="Arial"/>
          <w:noProof/>
          <w:sz w:val="16"/>
          <w:szCs w:val="16"/>
        </w:rPr>
        <w:t xml:space="preserve"> (Feb 15)</w:t>
      </w:r>
      <w:r w:rsidRPr="005E557A">
        <w:rPr>
          <w:rFonts w:cs="Arial"/>
          <w:sz w:val="16"/>
          <w:szCs w:val="16"/>
        </w:rPr>
        <w:fldChar w:fldCharType="end"/>
      </w:r>
      <w:r w:rsidRPr="005E557A">
        <w:rPr>
          <w:rFonts w:cs="Arial"/>
          <w:sz w:val="16"/>
          <w:szCs w:val="16"/>
        </w:rPr>
        <w:t xml:space="preserve">. Available from: </w:t>
      </w:r>
      <w:hyperlink r:id="rId108" w:history="1">
        <w:r w:rsidRPr="005E557A">
          <w:rPr>
            <w:rStyle w:val="Hyperlink"/>
            <w:rFonts w:cs="Arial"/>
            <w:sz w:val="16"/>
            <w:szCs w:val="16"/>
          </w:rPr>
          <w:t>URL</w:t>
        </w:r>
      </w:hyperlink>
      <w:r w:rsidRPr="005E557A">
        <w:rPr>
          <w:rFonts w:cs="Arial"/>
          <w:sz w:val="16"/>
          <w:szCs w:val="16"/>
        </w:rPr>
        <w:t xml:space="preserve"> </w:t>
      </w:r>
    </w:p>
  </w:footnote>
  <w:footnote w:id="121">
    <w:p w14:paraId="743F8F95" w14:textId="5B4F7F79" w:rsidR="00B208C1" w:rsidRPr="005E557A" w:rsidRDefault="00B208C1" w:rsidP="00045C74">
      <w:pPr>
        <w:pStyle w:val="FootnoteText"/>
        <w:tabs>
          <w:tab w:val="left" w:pos="357"/>
        </w:tabs>
        <w:spacing w:after="40"/>
        <w:ind w:left="357" w:hanging="357"/>
        <w:jc w:val="both"/>
        <w:rPr>
          <w:rFonts w:cs="Arial"/>
          <w:sz w:val="16"/>
          <w:szCs w:val="16"/>
          <w:lang w:val="en-US"/>
        </w:rPr>
      </w:pPr>
      <w:r w:rsidRPr="007E34A7">
        <w:rPr>
          <w:rStyle w:val="FootnoteReference"/>
          <w:rFonts w:cs="Arial"/>
          <w:sz w:val="18"/>
          <w:szCs w:val="18"/>
        </w:rPr>
        <w:footnoteRef/>
      </w:r>
      <w:r w:rsidRPr="005E557A">
        <w:rPr>
          <w:rFonts w:cs="Arial"/>
          <w:sz w:val="16"/>
          <w:szCs w:val="16"/>
        </w:rPr>
        <w:t xml:space="preserve"> </w:t>
      </w:r>
      <w:r w:rsidRPr="00F17AD5">
        <w:rPr>
          <w:rFonts w:cs="Arial"/>
          <w:sz w:val="16"/>
          <w:szCs w:val="16"/>
        </w:rPr>
        <w:fldChar w:fldCharType="begin"/>
      </w:r>
      <w:r w:rsidRPr="00F17AD5">
        <w:rPr>
          <w:rFonts w:cs="Arial"/>
          <w:sz w:val="16"/>
          <w:szCs w:val="16"/>
        </w:rPr>
        <w:instrText xml:space="preserve"> ADDIN EN.CITE &lt;EndNote&gt;&lt;Cite&gt;&lt;Author&gt;Stiefler Johnson&lt;/Author&gt;&lt;Year&gt;2014&lt;/Year&gt;&lt;RecNum&gt;665&lt;/RecNum&gt;&lt;DisplayText&gt;Stiefler Johnson (2014)&lt;style face="bold"&gt; &lt;/style&gt;Internalizing beauty ideals : the health risks of adult women&amp;apos;s self-objectification. &lt;/DisplayText&gt;&lt;record&gt;&lt;rec-number&gt;665&lt;/rec-number&gt;&lt;foreign-keys&gt;&lt;key app="EN" db-id="ssa09sw2ttazvjex2225xtt350ewfx2vadfs"&gt;665&lt;/key&gt;&lt;/foreign-keys&gt;&lt;ref-type name="Web Page"&gt;12&lt;/ref-type&gt;&lt;contributors&gt;&lt;authors&gt;&lt;author&gt;Stiefler Johnson, Vera&lt;/author&gt;&lt;/authors&gt;&lt;/contributors&gt;&lt;titles&gt;&lt;title&gt;Internalizing beauty ideals : the health risks of adult women&amp;apos;s self-objectification&lt;/title&gt;&lt;/titles&gt;&lt;dates&gt;&lt;year&gt;2014&lt;/year&gt;&lt;/dates&gt;&lt;pub-location&gt;New York&lt;/pub-location&gt;&lt;publisher&gt;New York University. Department of Applied Psychology&lt;/publisher&gt;&lt;urls&gt;&lt;related-urls&gt;&lt;url&gt;http://steinhardt.nyu.edu/appsych/opus/issues/2014/fall/stieflerjohnson&lt;/url&gt;&lt;/related-urls&gt;&lt;/urls&gt;&lt;/record&gt;&lt;/Cite&gt;&lt;/EndNote&gt;</w:instrText>
      </w:r>
      <w:r w:rsidRPr="00F17AD5">
        <w:rPr>
          <w:rFonts w:cs="Arial"/>
          <w:sz w:val="16"/>
          <w:szCs w:val="16"/>
        </w:rPr>
        <w:fldChar w:fldCharType="separate"/>
      </w:r>
      <w:r>
        <w:rPr>
          <w:rFonts w:cs="Arial"/>
          <w:noProof/>
          <w:sz w:val="16"/>
          <w:szCs w:val="16"/>
        </w:rPr>
        <w:tab/>
        <w:t>S</w:t>
      </w:r>
      <w:r w:rsidRPr="00F17AD5">
        <w:rPr>
          <w:rFonts w:cs="Arial"/>
          <w:noProof/>
          <w:sz w:val="16"/>
          <w:szCs w:val="16"/>
        </w:rPr>
        <w:t>tiefler Johnson</w:t>
      </w:r>
      <w:r>
        <w:rPr>
          <w:rFonts w:cs="Arial"/>
          <w:noProof/>
          <w:sz w:val="16"/>
          <w:szCs w:val="16"/>
        </w:rPr>
        <w:t xml:space="preserve"> V</w:t>
      </w:r>
      <w:r w:rsidRPr="00F17AD5">
        <w:rPr>
          <w:rFonts w:cs="Arial"/>
          <w:noProof/>
          <w:sz w:val="16"/>
          <w:szCs w:val="16"/>
        </w:rPr>
        <w:t xml:space="preserve"> (2014)</w:t>
      </w:r>
      <w:r w:rsidRPr="00F17AD5">
        <w:rPr>
          <w:rFonts w:cs="Arial"/>
          <w:b/>
          <w:noProof/>
          <w:sz w:val="16"/>
          <w:szCs w:val="16"/>
        </w:rPr>
        <w:t xml:space="preserve"> </w:t>
      </w:r>
      <w:r w:rsidRPr="00F17AD5">
        <w:rPr>
          <w:rFonts w:cs="Arial"/>
          <w:noProof/>
          <w:sz w:val="16"/>
          <w:szCs w:val="16"/>
        </w:rPr>
        <w:t xml:space="preserve">Internalizing beauty ideals: the health risks of adult women's self-objectification. </w:t>
      </w:r>
      <w:r w:rsidRPr="00F17AD5">
        <w:rPr>
          <w:rFonts w:cs="Arial"/>
          <w:sz w:val="16"/>
          <w:szCs w:val="16"/>
        </w:rPr>
        <w:fldChar w:fldCharType="end"/>
      </w:r>
      <w:r w:rsidRPr="00635F33">
        <w:rPr>
          <w:rFonts w:cs="Arial"/>
          <w:i/>
          <w:iCs/>
          <w:sz w:val="16"/>
          <w:szCs w:val="16"/>
        </w:rPr>
        <w:t>OPUS (NYU Steinhar</w:t>
      </w:r>
      <w:r>
        <w:rPr>
          <w:rFonts w:cs="Arial"/>
          <w:i/>
          <w:iCs/>
          <w:sz w:val="16"/>
          <w:szCs w:val="16"/>
        </w:rPr>
        <w:t>d</w:t>
      </w:r>
      <w:r w:rsidRPr="00635F33">
        <w:rPr>
          <w:rFonts w:cs="Arial"/>
          <w:i/>
          <w:iCs/>
          <w:sz w:val="16"/>
          <w:szCs w:val="16"/>
        </w:rPr>
        <w:t>t)</w:t>
      </w:r>
      <w:r>
        <w:rPr>
          <w:rFonts w:cs="Arial"/>
          <w:i/>
          <w:iCs/>
          <w:sz w:val="16"/>
          <w:szCs w:val="16"/>
        </w:rPr>
        <w:t>.</w:t>
      </w:r>
      <w:r>
        <w:rPr>
          <w:rFonts w:cs="Arial"/>
          <w:sz w:val="16"/>
          <w:szCs w:val="16"/>
        </w:rPr>
        <w:t xml:space="preserve"> 2014(Fall):13-19. </w:t>
      </w:r>
      <w:r w:rsidRPr="00F17AD5">
        <w:rPr>
          <w:rFonts w:cs="Arial"/>
          <w:sz w:val="16"/>
          <w:szCs w:val="16"/>
        </w:rPr>
        <w:t xml:space="preserve">Available from: </w:t>
      </w:r>
      <w:hyperlink r:id="rId109" w:history="1">
        <w:r w:rsidRPr="00F17AD5">
          <w:rPr>
            <w:rStyle w:val="Hyperlink"/>
            <w:rFonts w:cs="Arial"/>
            <w:sz w:val="16"/>
            <w:szCs w:val="16"/>
          </w:rPr>
          <w:t>URL</w:t>
        </w:r>
      </w:hyperlink>
    </w:p>
  </w:footnote>
  <w:footnote w:id="122">
    <w:p w14:paraId="16F625BB" w14:textId="2EE807BE" w:rsidR="00B208C1" w:rsidRPr="005E557A" w:rsidRDefault="00B208C1" w:rsidP="00045C74">
      <w:pPr>
        <w:tabs>
          <w:tab w:val="left" w:pos="357"/>
        </w:tabs>
        <w:spacing w:after="40" w:line="240" w:lineRule="auto"/>
        <w:ind w:left="357" w:hanging="357"/>
        <w:jc w:val="both"/>
        <w:rPr>
          <w:rFonts w:ascii="Arial" w:eastAsia="Times New Roman" w:hAnsi="Arial" w:cs="Arial"/>
          <w:sz w:val="16"/>
          <w:szCs w:val="16"/>
          <w:lang w:eastAsia="en-AU"/>
        </w:rPr>
      </w:pPr>
      <w:r w:rsidRPr="007E34A7">
        <w:rPr>
          <w:rStyle w:val="FootnoteReference"/>
          <w:rFonts w:ascii="Arial" w:hAnsi="Arial" w:cs="Arial"/>
          <w:sz w:val="18"/>
          <w:szCs w:val="18"/>
        </w:rPr>
        <w:footnoteRef/>
      </w:r>
      <w:r w:rsidRPr="007E34A7">
        <w:rPr>
          <w:rFonts w:ascii="Arial" w:hAnsi="Arial" w:cs="Arial"/>
          <w:sz w:val="18"/>
          <w:szCs w:val="18"/>
        </w:rPr>
        <w:t xml:space="preserve"> </w:t>
      </w:r>
      <w:r>
        <w:rPr>
          <w:rFonts w:ascii="Arial" w:hAnsi="Arial" w:cs="Arial"/>
          <w:sz w:val="16"/>
          <w:szCs w:val="16"/>
        </w:rPr>
        <w:tab/>
      </w:r>
      <w:r w:rsidRPr="005E557A">
        <w:rPr>
          <w:rFonts w:ascii="Arial" w:eastAsia="Times New Roman" w:hAnsi="Arial" w:cs="Arial"/>
          <w:sz w:val="16"/>
          <w:szCs w:val="16"/>
          <w:lang w:eastAsia="en-AU"/>
        </w:rPr>
        <w:t>Upston B, Anderson R, Wojcik E (2017) Serving up inequality: how sex and gender impact women's relationship with food. Women's Health Victoria</w:t>
      </w:r>
      <w:r>
        <w:rPr>
          <w:rFonts w:ascii="Arial" w:eastAsia="Times New Roman" w:hAnsi="Arial" w:cs="Arial"/>
          <w:sz w:val="16"/>
          <w:szCs w:val="16"/>
          <w:lang w:eastAsia="en-AU"/>
        </w:rPr>
        <w:t>,</w:t>
      </w:r>
      <w:r w:rsidRPr="005E557A">
        <w:rPr>
          <w:rFonts w:ascii="Arial" w:eastAsia="Times New Roman" w:hAnsi="Arial" w:cs="Arial"/>
          <w:sz w:val="16"/>
          <w:szCs w:val="16"/>
          <w:lang w:eastAsia="en-AU"/>
        </w:rPr>
        <w:t xml:space="preserve"> Melbourne. - (</w:t>
      </w:r>
      <w:r w:rsidRPr="005D158C">
        <w:rPr>
          <w:rFonts w:ascii="Arial" w:eastAsia="Times New Roman" w:hAnsi="Arial" w:cs="Arial"/>
          <w:i/>
          <w:iCs/>
          <w:sz w:val="16"/>
          <w:szCs w:val="16"/>
          <w:lang w:eastAsia="en-AU"/>
        </w:rPr>
        <w:t>Women's Health Issues Paper</w:t>
      </w:r>
      <w:r w:rsidRPr="005E557A">
        <w:rPr>
          <w:rFonts w:ascii="Arial" w:eastAsia="Times New Roman" w:hAnsi="Arial" w:cs="Arial"/>
          <w:sz w:val="16"/>
          <w:szCs w:val="16"/>
          <w:lang w:eastAsia="en-AU"/>
        </w:rPr>
        <w:t>; 11). Available</w:t>
      </w:r>
      <w:r>
        <w:rPr>
          <w:rFonts w:ascii="Arial" w:eastAsia="Times New Roman" w:hAnsi="Arial" w:cs="Arial"/>
          <w:sz w:val="16"/>
          <w:szCs w:val="16"/>
          <w:lang w:eastAsia="en-AU"/>
        </w:rPr>
        <w:t xml:space="preserve"> from: </w:t>
      </w:r>
      <w:hyperlink r:id="rId110" w:history="1">
        <w:r>
          <w:rPr>
            <w:rStyle w:val="Hyperlink"/>
            <w:rFonts w:ascii="Arial" w:eastAsia="Times New Roman" w:hAnsi="Arial" w:cs="Arial"/>
            <w:sz w:val="16"/>
            <w:szCs w:val="16"/>
            <w:lang w:eastAsia="en-AU"/>
          </w:rPr>
          <w:t>URL</w:t>
        </w:r>
      </w:hyperlink>
    </w:p>
  </w:footnote>
  <w:footnote w:id="123">
    <w:p w14:paraId="2CBC50E0" w14:textId="2592A487" w:rsidR="00B208C1" w:rsidRPr="005E557A" w:rsidRDefault="00B208C1" w:rsidP="00045C74">
      <w:pPr>
        <w:pStyle w:val="FootnoteText"/>
        <w:tabs>
          <w:tab w:val="left" w:pos="357"/>
        </w:tabs>
        <w:spacing w:after="40"/>
        <w:ind w:left="357" w:hanging="357"/>
        <w:jc w:val="both"/>
        <w:rPr>
          <w:rFonts w:cs="Arial"/>
          <w:sz w:val="16"/>
          <w:szCs w:val="16"/>
        </w:rPr>
      </w:pPr>
      <w:r w:rsidRPr="007E34A7">
        <w:rPr>
          <w:rStyle w:val="FootnoteReference"/>
          <w:rFonts w:cs="Arial"/>
          <w:sz w:val="18"/>
          <w:szCs w:val="18"/>
        </w:rPr>
        <w:footnoteRef/>
      </w:r>
      <w:r w:rsidRPr="005E557A">
        <w:rPr>
          <w:rFonts w:cs="Arial"/>
          <w:sz w:val="16"/>
          <w:szCs w:val="16"/>
        </w:rPr>
        <w:t xml:space="preserve"> </w:t>
      </w:r>
      <w:r>
        <w:rPr>
          <w:rFonts w:cs="Arial"/>
          <w:sz w:val="16"/>
          <w:szCs w:val="16"/>
        </w:rPr>
        <w:tab/>
      </w:r>
      <w:r w:rsidRPr="005E557A">
        <w:rPr>
          <w:rFonts w:cs="Arial"/>
          <w:sz w:val="16"/>
          <w:szCs w:val="16"/>
          <w:lang w:val="en-US"/>
        </w:rPr>
        <w:t>N</w:t>
      </w:r>
      <w:r>
        <w:rPr>
          <w:rFonts w:cs="Arial"/>
          <w:sz w:val="16"/>
          <w:szCs w:val="16"/>
          <w:lang w:val="en-US"/>
        </w:rPr>
        <w:t>ational Eating Disorders Collaboration (2017)</w:t>
      </w:r>
      <w:r w:rsidRPr="005E557A">
        <w:rPr>
          <w:rFonts w:cs="Arial"/>
          <w:sz w:val="16"/>
          <w:szCs w:val="16"/>
          <w:lang w:val="en-US"/>
        </w:rPr>
        <w:t xml:space="preserve"> </w:t>
      </w:r>
      <w:r w:rsidRPr="008F00E1">
        <w:rPr>
          <w:rFonts w:cs="Arial"/>
          <w:sz w:val="16"/>
          <w:szCs w:val="16"/>
          <w:lang w:val="en-US"/>
        </w:rPr>
        <w:t>Eating disorders and obesity treatments: a</w:t>
      </w:r>
      <w:r w:rsidRPr="008F00E1">
        <w:rPr>
          <w:sz w:val="16"/>
          <w:szCs w:val="16"/>
        </w:rPr>
        <w:t xml:space="preserve"> systematic review of the physical, psychological and eating disorders outcomes from obesity treatments</w:t>
      </w:r>
      <w:r>
        <w:rPr>
          <w:sz w:val="16"/>
          <w:szCs w:val="16"/>
        </w:rPr>
        <w:t xml:space="preserve">. NEDC, Crows Nest, NSW. Available from: </w:t>
      </w:r>
      <w:hyperlink r:id="rId111" w:history="1">
        <w:r w:rsidRPr="006F264F">
          <w:rPr>
            <w:rStyle w:val="Hyperlink"/>
            <w:sz w:val="16"/>
            <w:szCs w:val="16"/>
          </w:rPr>
          <w:t>URL</w:t>
        </w:r>
      </w:hyperlink>
    </w:p>
  </w:footnote>
  <w:footnote w:id="124">
    <w:p w14:paraId="4F777DC3" w14:textId="236CEEDD" w:rsidR="00B208C1" w:rsidRPr="005E557A" w:rsidRDefault="00B208C1" w:rsidP="00045C74">
      <w:pPr>
        <w:pStyle w:val="FootnoteText"/>
        <w:tabs>
          <w:tab w:val="left" w:pos="357"/>
        </w:tabs>
        <w:spacing w:after="40"/>
        <w:ind w:left="357" w:hanging="357"/>
        <w:jc w:val="both"/>
        <w:rPr>
          <w:rFonts w:cs="Arial"/>
          <w:sz w:val="16"/>
          <w:szCs w:val="16"/>
        </w:rPr>
      </w:pPr>
      <w:r w:rsidRPr="007E34A7">
        <w:rPr>
          <w:rStyle w:val="FootnoteReference"/>
          <w:rFonts w:cs="Arial"/>
          <w:sz w:val="18"/>
          <w:szCs w:val="18"/>
        </w:rPr>
        <w:footnoteRef/>
      </w:r>
      <w:r w:rsidRPr="007E34A7">
        <w:rPr>
          <w:rFonts w:cs="Arial"/>
          <w:sz w:val="18"/>
          <w:szCs w:val="18"/>
        </w:rPr>
        <w:t xml:space="preserve"> </w:t>
      </w:r>
      <w:r>
        <w:rPr>
          <w:rFonts w:cs="Arial"/>
          <w:sz w:val="16"/>
          <w:szCs w:val="16"/>
        </w:rPr>
        <w:tab/>
        <w:t xml:space="preserve">Pont S, Puhl R, Cook SR, Slusser W (2017) </w:t>
      </w:r>
      <w:hyperlink r:id="rId112" w:history="1">
        <w:r w:rsidRPr="005E557A">
          <w:rPr>
            <w:rFonts w:cs="Arial"/>
            <w:sz w:val="16"/>
            <w:szCs w:val="16"/>
          </w:rPr>
          <w:t xml:space="preserve">Stigma </w:t>
        </w:r>
        <w:r>
          <w:rPr>
            <w:rFonts w:cs="Arial"/>
            <w:sz w:val="16"/>
            <w:szCs w:val="16"/>
          </w:rPr>
          <w:t>e</w:t>
        </w:r>
        <w:r w:rsidRPr="005E557A">
          <w:rPr>
            <w:rFonts w:cs="Arial"/>
            <w:sz w:val="16"/>
            <w:szCs w:val="16"/>
          </w:rPr>
          <w:t xml:space="preserve">xperienced by </w:t>
        </w:r>
        <w:r>
          <w:rPr>
            <w:rFonts w:cs="Arial"/>
            <w:sz w:val="16"/>
            <w:szCs w:val="16"/>
          </w:rPr>
          <w:t>c</w:t>
        </w:r>
        <w:r w:rsidRPr="005E557A">
          <w:rPr>
            <w:rFonts w:cs="Arial"/>
            <w:sz w:val="16"/>
            <w:szCs w:val="16"/>
          </w:rPr>
          <w:t xml:space="preserve">hildren and </w:t>
        </w:r>
        <w:r>
          <w:rPr>
            <w:rFonts w:cs="Arial"/>
            <w:sz w:val="16"/>
            <w:szCs w:val="16"/>
          </w:rPr>
          <w:t>a</w:t>
        </w:r>
        <w:r w:rsidRPr="005E557A">
          <w:rPr>
            <w:rFonts w:cs="Arial"/>
            <w:sz w:val="16"/>
            <w:szCs w:val="16"/>
          </w:rPr>
          <w:t xml:space="preserve">dolescents </w:t>
        </w:r>
        <w:r>
          <w:rPr>
            <w:rFonts w:cs="Arial"/>
            <w:sz w:val="16"/>
            <w:szCs w:val="16"/>
          </w:rPr>
          <w:t>w</w:t>
        </w:r>
        <w:r w:rsidRPr="005E557A">
          <w:rPr>
            <w:rFonts w:cs="Arial"/>
            <w:sz w:val="16"/>
            <w:szCs w:val="16"/>
          </w:rPr>
          <w:t xml:space="preserve">ith </w:t>
        </w:r>
        <w:r>
          <w:rPr>
            <w:rFonts w:cs="Arial"/>
            <w:sz w:val="16"/>
            <w:szCs w:val="16"/>
          </w:rPr>
          <w:t>o</w:t>
        </w:r>
        <w:r w:rsidRPr="005E557A">
          <w:rPr>
            <w:rFonts w:cs="Arial"/>
            <w:sz w:val="16"/>
            <w:szCs w:val="16"/>
          </w:rPr>
          <w:t>besity</w:t>
        </w:r>
      </w:hyperlink>
      <w:r>
        <w:rPr>
          <w:rFonts w:cs="Arial"/>
          <w:sz w:val="16"/>
          <w:szCs w:val="16"/>
        </w:rPr>
        <w:t>.</w:t>
      </w:r>
      <w:r w:rsidRPr="005E557A">
        <w:rPr>
          <w:rFonts w:cs="Arial"/>
          <w:sz w:val="16"/>
          <w:szCs w:val="16"/>
        </w:rPr>
        <w:t xml:space="preserve"> </w:t>
      </w:r>
      <w:r w:rsidRPr="005E557A">
        <w:rPr>
          <w:rFonts w:cs="Arial"/>
          <w:i/>
          <w:iCs/>
          <w:sz w:val="16"/>
          <w:szCs w:val="16"/>
        </w:rPr>
        <w:t>Pediatrics</w:t>
      </w:r>
      <w:r>
        <w:rPr>
          <w:rFonts w:cs="Arial"/>
          <w:i/>
          <w:iCs/>
          <w:sz w:val="16"/>
          <w:szCs w:val="16"/>
        </w:rPr>
        <w:t xml:space="preserve">. </w:t>
      </w:r>
      <w:r w:rsidRPr="006F264F">
        <w:rPr>
          <w:rFonts w:cs="Arial"/>
          <w:sz w:val="16"/>
          <w:szCs w:val="16"/>
        </w:rPr>
        <w:t>140(6):e20173034</w:t>
      </w:r>
      <w:r>
        <w:rPr>
          <w:rFonts w:cs="Arial"/>
          <w:sz w:val="16"/>
          <w:szCs w:val="16"/>
        </w:rPr>
        <w:t xml:space="preserve">. Available from: </w:t>
      </w:r>
      <w:hyperlink r:id="rId113" w:history="1">
        <w:r w:rsidRPr="006F264F">
          <w:rPr>
            <w:rStyle w:val="Hyperlink"/>
            <w:rFonts w:cs="Arial"/>
            <w:sz w:val="16"/>
            <w:szCs w:val="16"/>
          </w:rPr>
          <w:t>URL</w:t>
        </w:r>
      </w:hyperlink>
    </w:p>
  </w:footnote>
  <w:footnote w:id="125">
    <w:p w14:paraId="409309EE" w14:textId="5843F840" w:rsidR="00B208C1" w:rsidRPr="00B45CB1" w:rsidRDefault="00B208C1" w:rsidP="00A71BE1">
      <w:pPr>
        <w:tabs>
          <w:tab w:val="left" w:pos="357"/>
        </w:tabs>
        <w:spacing w:after="60" w:line="240" w:lineRule="auto"/>
        <w:ind w:left="357" w:hanging="357"/>
        <w:jc w:val="both"/>
        <w:rPr>
          <w:rFonts w:ascii="Arial" w:eastAsia="Times New Roman" w:hAnsi="Arial" w:cs="Arial"/>
          <w:sz w:val="16"/>
          <w:szCs w:val="16"/>
        </w:rPr>
      </w:pPr>
      <w:r w:rsidRPr="00B45CB1">
        <w:rPr>
          <w:rStyle w:val="FootnoteReference"/>
          <w:rFonts w:ascii="Arial" w:hAnsi="Arial" w:cs="Arial"/>
          <w:sz w:val="18"/>
          <w:szCs w:val="18"/>
        </w:rPr>
        <w:footnoteRef/>
      </w:r>
      <w:r w:rsidRPr="00B45CB1">
        <w:rPr>
          <w:rFonts w:ascii="Arial" w:hAnsi="Arial" w:cs="Arial"/>
          <w:sz w:val="16"/>
          <w:szCs w:val="16"/>
        </w:rPr>
        <w:t xml:space="preserve"> </w:t>
      </w:r>
      <w:bookmarkStart w:id="35" w:name="_Hlk58505741"/>
      <w:r>
        <w:rPr>
          <w:rFonts w:ascii="Arial" w:hAnsi="Arial" w:cs="Arial"/>
          <w:sz w:val="16"/>
          <w:szCs w:val="16"/>
        </w:rPr>
        <w:tab/>
      </w:r>
      <w:bookmarkEnd w:id="35"/>
      <w:r w:rsidRPr="0061006A">
        <w:rPr>
          <w:rFonts w:ascii="Arial" w:hAnsi="Arial" w:cs="Arial"/>
          <w:sz w:val="16"/>
          <w:szCs w:val="16"/>
        </w:rPr>
        <w:t>Webster A, Anderson R, Barr M (2017) Growing up unequal: how sex and gender impact young women's health and wellbeing. Women's Health Victoria, Melbourne. - (</w:t>
      </w:r>
      <w:r w:rsidRPr="0061006A">
        <w:rPr>
          <w:rFonts w:ascii="Arial" w:hAnsi="Arial" w:cs="Arial"/>
          <w:i/>
          <w:iCs/>
          <w:sz w:val="16"/>
          <w:szCs w:val="16"/>
        </w:rPr>
        <w:t>Women's Health Issues Paper</w:t>
      </w:r>
      <w:r w:rsidRPr="0061006A">
        <w:rPr>
          <w:rFonts w:ascii="Arial" w:hAnsi="Arial" w:cs="Arial"/>
          <w:sz w:val="16"/>
          <w:szCs w:val="16"/>
        </w:rPr>
        <w:t xml:space="preserve">; 12). Available from: </w:t>
      </w:r>
      <w:hyperlink r:id="rId114" w:history="1">
        <w:r w:rsidRPr="0061006A">
          <w:rPr>
            <w:rStyle w:val="Hyperlink"/>
            <w:rFonts w:ascii="Arial" w:hAnsi="Arial" w:cs="Arial"/>
            <w:sz w:val="16"/>
            <w:szCs w:val="16"/>
          </w:rPr>
          <w:t>URL</w:t>
        </w:r>
      </w:hyperlink>
    </w:p>
  </w:footnote>
  <w:footnote w:id="126">
    <w:p w14:paraId="43435DF3" w14:textId="77777777" w:rsidR="00B208C1" w:rsidRDefault="00B208C1" w:rsidP="00A71BE1">
      <w:pPr>
        <w:pStyle w:val="FootnoteText"/>
        <w:spacing w:after="60"/>
        <w:rPr>
          <w:rFonts w:cs="Arial"/>
          <w:sz w:val="16"/>
          <w:szCs w:val="16"/>
        </w:rPr>
      </w:pPr>
      <w:r w:rsidRPr="00A71BE1">
        <w:rPr>
          <w:rFonts w:cs="Arial"/>
          <w:sz w:val="18"/>
          <w:szCs w:val="18"/>
          <w:vertAlign w:val="superscript"/>
        </w:rPr>
        <w:footnoteRef/>
      </w:r>
      <w:r w:rsidRPr="00A71BE1">
        <w:rPr>
          <w:rFonts w:cs="Arial"/>
          <w:sz w:val="18"/>
          <w:szCs w:val="18"/>
          <w:vertAlign w:val="superscript"/>
        </w:rPr>
        <w:t xml:space="preserve"> </w:t>
      </w:r>
      <w:r w:rsidRPr="00A71BE1">
        <w:rPr>
          <w:rFonts w:cs="Arial"/>
          <w:sz w:val="16"/>
          <w:szCs w:val="16"/>
        </w:rPr>
        <w:t xml:space="preserve">   </w:t>
      </w:r>
      <w:proofErr w:type="spellStart"/>
      <w:r w:rsidRPr="00A71BE1">
        <w:rPr>
          <w:rFonts w:cs="Arial"/>
          <w:sz w:val="16"/>
          <w:szCs w:val="16"/>
        </w:rPr>
        <w:t>Grunseit</w:t>
      </w:r>
      <w:proofErr w:type="spellEnd"/>
      <w:r w:rsidRPr="00A71BE1">
        <w:rPr>
          <w:rFonts w:cs="Arial"/>
          <w:sz w:val="16"/>
          <w:szCs w:val="16"/>
        </w:rPr>
        <w:t xml:space="preserve"> A, Kippax S</w:t>
      </w:r>
      <w:r>
        <w:rPr>
          <w:rFonts w:cs="Arial"/>
          <w:sz w:val="16"/>
          <w:szCs w:val="16"/>
        </w:rPr>
        <w:t xml:space="preserve"> (1993) </w:t>
      </w:r>
      <w:r w:rsidRPr="00A71BE1">
        <w:rPr>
          <w:rFonts w:cs="Arial"/>
          <w:sz w:val="16"/>
          <w:szCs w:val="16"/>
        </w:rPr>
        <w:t xml:space="preserve">Effects of Sex Education on Young People’s Sexual Behaviour, Geneva, World Health </w:t>
      </w:r>
      <w:r>
        <w:rPr>
          <w:rFonts w:cs="Arial"/>
          <w:sz w:val="16"/>
          <w:szCs w:val="16"/>
        </w:rPr>
        <w:t xml:space="preserve">   </w:t>
      </w:r>
    </w:p>
    <w:p w14:paraId="144319A7" w14:textId="62A52BEF" w:rsidR="00B208C1" w:rsidRPr="00A71BE1" w:rsidRDefault="00B208C1" w:rsidP="00A71BE1">
      <w:pPr>
        <w:pStyle w:val="FootnoteText"/>
        <w:spacing w:after="60"/>
        <w:rPr>
          <w:rFonts w:cs="Arial"/>
          <w:sz w:val="16"/>
          <w:szCs w:val="16"/>
        </w:rPr>
      </w:pPr>
      <w:r>
        <w:rPr>
          <w:rFonts w:cs="Arial"/>
          <w:sz w:val="16"/>
          <w:szCs w:val="16"/>
        </w:rPr>
        <w:t xml:space="preserve">        </w:t>
      </w:r>
      <w:r w:rsidRPr="00A71BE1">
        <w:rPr>
          <w:rFonts w:cs="Arial"/>
          <w:sz w:val="16"/>
          <w:szCs w:val="16"/>
        </w:rPr>
        <w:t>Organization, p.10.</w:t>
      </w:r>
    </w:p>
  </w:footnote>
  <w:footnote w:id="127">
    <w:p w14:paraId="5CB00AAA" w14:textId="48902CE9" w:rsidR="00B208C1" w:rsidRPr="00B45CB1" w:rsidRDefault="00B208C1" w:rsidP="00045C74">
      <w:pPr>
        <w:pStyle w:val="FootnoteText"/>
        <w:tabs>
          <w:tab w:val="left" w:pos="357"/>
        </w:tabs>
        <w:spacing w:after="40"/>
        <w:ind w:left="357" w:hanging="357"/>
        <w:jc w:val="both"/>
        <w:rPr>
          <w:rFonts w:cs="Arial"/>
          <w:sz w:val="16"/>
          <w:szCs w:val="16"/>
        </w:rPr>
      </w:pPr>
      <w:r w:rsidRPr="00B45CB1">
        <w:rPr>
          <w:rStyle w:val="FootnoteReference"/>
          <w:rFonts w:cs="Arial"/>
          <w:sz w:val="18"/>
          <w:szCs w:val="18"/>
        </w:rPr>
        <w:footnoteRef/>
      </w:r>
      <w:r w:rsidRPr="00B45CB1">
        <w:rPr>
          <w:rFonts w:cs="Arial"/>
          <w:sz w:val="16"/>
          <w:szCs w:val="16"/>
        </w:rPr>
        <w:t xml:space="preserve"> </w:t>
      </w:r>
      <w:r>
        <w:rPr>
          <w:rFonts w:cs="Arial"/>
          <w:sz w:val="16"/>
          <w:szCs w:val="16"/>
        </w:rPr>
        <w:tab/>
      </w:r>
      <w:r w:rsidRPr="00B45CB1">
        <w:rPr>
          <w:rFonts w:cs="Arial"/>
          <w:sz w:val="16"/>
          <w:szCs w:val="16"/>
        </w:rPr>
        <w:t>Holden J, Bell E</w:t>
      </w:r>
      <w:r>
        <w:rPr>
          <w:rFonts w:cs="Arial"/>
          <w:sz w:val="16"/>
          <w:szCs w:val="16"/>
        </w:rPr>
        <w:t>,</w:t>
      </w:r>
      <w:r w:rsidRPr="00B45CB1">
        <w:rPr>
          <w:rFonts w:cs="Arial"/>
          <w:sz w:val="16"/>
          <w:szCs w:val="16"/>
        </w:rPr>
        <w:t xml:space="preserve"> </w:t>
      </w:r>
      <w:proofErr w:type="spellStart"/>
      <w:r w:rsidRPr="00B45CB1">
        <w:rPr>
          <w:rFonts w:cs="Arial"/>
          <w:sz w:val="16"/>
          <w:szCs w:val="16"/>
        </w:rPr>
        <w:t>Schauerhammer</w:t>
      </w:r>
      <w:proofErr w:type="spellEnd"/>
      <w:r w:rsidRPr="00B45CB1">
        <w:rPr>
          <w:rFonts w:cs="Arial"/>
          <w:sz w:val="16"/>
          <w:szCs w:val="16"/>
        </w:rPr>
        <w:t xml:space="preserve"> V (2015) We </w:t>
      </w:r>
      <w:r>
        <w:rPr>
          <w:rFonts w:cs="Arial"/>
          <w:sz w:val="16"/>
          <w:szCs w:val="16"/>
        </w:rPr>
        <w:t>w</w:t>
      </w:r>
      <w:r w:rsidRPr="00B45CB1">
        <w:rPr>
          <w:rFonts w:cs="Arial"/>
          <w:sz w:val="16"/>
          <w:szCs w:val="16"/>
        </w:rPr>
        <w:t xml:space="preserve">ant to </w:t>
      </w:r>
      <w:r>
        <w:rPr>
          <w:rFonts w:cs="Arial"/>
          <w:sz w:val="16"/>
          <w:szCs w:val="16"/>
        </w:rPr>
        <w:t>l</w:t>
      </w:r>
      <w:r w:rsidRPr="00B45CB1">
        <w:rPr>
          <w:rFonts w:cs="Arial"/>
          <w:sz w:val="16"/>
          <w:szCs w:val="16"/>
        </w:rPr>
        <w:t xml:space="preserve">earn </w:t>
      </w:r>
      <w:r>
        <w:rPr>
          <w:rFonts w:cs="Arial"/>
          <w:sz w:val="16"/>
          <w:szCs w:val="16"/>
        </w:rPr>
        <w:t>a</w:t>
      </w:r>
      <w:r w:rsidRPr="00B45CB1">
        <w:rPr>
          <w:rFonts w:cs="Arial"/>
          <w:sz w:val="16"/>
          <w:szCs w:val="16"/>
        </w:rPr>
        <w:t xml:space="preserve">bout </w:t>
      </w:r>
      <w:r>
        <w:rPr>
          <w:rFonts w:cs="Arial"/>
          <w:sz w:val="16"/>
          <w:szCs w:val="16"/>
        </w:rPr>
        <w:t>g</w:t>
      </w:r>
      <w:r w:rsidRPr="00B45CB1">
        <w:rPr>
          <w:rFonts w:cs="Arial"/>
          <w:sz w:val="16"/>
          <w:szCs w:val="16"/>
        </w:rPr>
        <w:t xml:space="preserve">ood </w:t>
      </w:r>
      <w:r>
        <w:rPr>
          <w:rFonts w:cs="Arial"/>
          <w:sz w:val="16"/>
          <w:szCs w:val="16"/>
        </w:rPr>
        <w:t>l</w:t>
      </w:r>
      <w:r w:rsidRPr="00B45CB1">
        <w:rPr>
          <w:rFonts w:cs="Arial"/>
          <w:sz w:val="16"/>
          <w:szCs w:val="16"/>
        </w:rPr>
        <w:t xml:space="preserve">ove: </w:t>
      </w:r>
      <w:r>
        <w:rPr>
          <w:rFonts w:cs="Arial"/>
          <w:sz w:val="16"/>
          <w:szCs w:val="16"/>
        </w:rPr>
        <w:t>f</w:t>
      </w:r>
      <w:r w:rsidRPr="00B45CB1">
        <w:rPr>
          <w:rFonts w:cs="Arial"/>
          <w:sz w:val="16"/>
          <w:szCs w:val="16"/>
        </w:rPr>
        <w:t xml:space="preserve">indings from a </w:t>
      </w:r>
      <w:r>
        <w:rPr>
          <w:rFonts w:cs="Arial"/>
          <w:sz w:val="16"/>
          <w:szCs w:val="16"/>
        </w:rPr>
        <w:t>q</w:t>
      </w:r>
      <w:r w:rsidRPr="00B45CB1">
        <w:rPr>
          <w:rFonts w:cs="Arial"/>
          <w:sz w:val="16"/>
          <w:szCs w:val="16"/>
        </w:rPr>
        <w:t xml:space="preserve">ualitative </w:t>
      </w:r>
      <w:r>
        <w:rPr>
          <w:rFonts w:cs="Arial"/>
          <w:sz w:val="16"/>
          <w:szCs w:val="16"/>
        </w:rPr>
        <w:t>s</w:t>
      </w:r>
      <w:r w:rsidRPr="00B45CB1">
        <w:rPr>
          <w:rFonts w:cs="Arial"/>
          <w:sz w:val="16"/>
          <w:szCs w:val="16"/>
        </w:rPr>
        <w:t xml:space="preserve">tudy </w:t>
      </w:r>
      <w:r>
        <w:rPr>
          <w:rFonts w:cs="Arial"/>
          <w:sz w:val="16"/>
          <w:szCs w:val="16"/>
        </w:rPr>
        <w:t>a</w:t>
      </w:r>
      <w:r w:rsidRPr="00B45CB1">
        <w:rPr>
          <w:rFonts w:cs="Arial"/>
          <w:sz w:val="16"/>
          <w:szCs w:val="16"/>
        </w:rPr>
        <w:t xml:space="preserve">ssessing the </w:t>
      </w:r>
      <w:r>
        <w:rPr>
          <w:rFonts w:cs="Arial"/>
          <w:sz w:val="16"/>
          <w:szCs w:val="16"/>
        </w:rPr>
        <w:t>l</w:t>
      </w:r>
      <w:r w:rsidRPr="00B45CB1">
        <w:rPr>
          <w:rFonts w:cs="Arial"/>
          <w:sz w:val="16"/>
          <w:szCs w:val="16"/>
        </w:rPr>
        <w:t xml:space="preserve">inks </w:t>
      </w:r>
      <w:r>
        <w:rPr>
          <w:rFonts w:cs="Arial"/>
          <w:sz w:val="16"/>
          <w:szCs w:val="16"/>
        </w:rPr>
        <w:t>b</w:t>
      </w:r>
      <w:r w:rsidRPr="00B45CB1">
        <w:rPr>
          <w:rFonts w:cs="Arial"/>
          <w:sz w:val="16"/>
          <w:szCs w:val="16"/>
        </w:rPr>
        <w:t xml:space="preserve">etween </w:t>
      </w:r>
      <w:r>
        <w:rPr>
          <w:rFonts w:cs="Arial"/>
          <w:sz w:val="16"/>
          <w:szCs w:val="16"/>
        </w:rPr>
        <w:t>c</w:t>
      </w:r>
      <w:r w:rsidRPr="00B45CB1">
        <w:rPr>
          <w:rFonts w:cs="Arial"/>
          <w:sz w:val="16"/>
          <w:szCs w:val="16"/>
        </w:rPr>
        <w:t xml:space="preserve">omprehensive </w:t>
      </w:r>
      <w:r>
        <w:rPr>
          <w:rFonts w:cs="Arial"/>
          <w:sz w:val="16"/>
          <w:szCs w:val="16"/>
        </w:rPr>
        <w:t>s</w:t>
      </w:r>
      <w:r w:rsidRPr="00B45CB1">
        <w:rPr>
          <w:rFonts w:cs="Arial"/>
          <w:sz w:val="16"/>
          <w:szCs w:val="16"/>
        </w:rPr>
        <w:t xml:space="preserve">exuality </w:t>
      </w:r>
      <w:r>
        <w:rPr>
          <w:rFonts w:cs="Arial"/>
          <w:sz w:val="16"/>
          <w:szCs w:val="16"/>
        </w:rPr>
        <w:t>e</w:t>
      </w:r>
      <w:r w:rsidRPr="00B45CB1">
        <w:rPr>
          <w:rFonts w:cs="Arial"/>
          <w:sz w:val="16"/>
          <w:szCs w:val="16"/>
        </w:rPr>
        <w:t xml:space="preserve">ducation and </w:t>
      </w:r>
      <w:r>
        <w:rPr>
          <w:rFonts w:cs="Arial"/>
          <w:sz w:val="16"/>
          <w:szCs w:val="16"/>
        </w:rPr>
        <w:t>v</w:t>
      </w:r>
      <w:r w:rsidRPr="00B45CB1">
        <w:rPr>
          <w:rFonts w:cs="Arial"/>
          <w:sz w:val="16"/>
          <w:szCs w:val="16"/>
        </w:rPr>
        <w:t xml:space="preserve">iolence </w:t>
      </w:r>
      <w:r>
        <w:rPr>
          <w:rFonts w:cs="Arial"/>
          <w:sz w:val="16"/>
          <w:szCs w:val="16"/>
        </w:rPr>
        <w:t>a</w:t>
      </w:r>
      <w:r w:rsidRPr="00B45CB1">
        <w:rPr>
          <w:rFonts w:cs="Arial"/>
          <w:sz w:val="16"/>
          <w:szCs w:val="16"/>
        </w:rPr>
        <w:t xml:space="preserve">gainst </w:t>
      </w:r>
      <w:r>
        <w:rPr>
          <w:rFonts w:cs="Arial"/>
          <w:sz w:val="16"/>
          <w:szCs w:val="16"/>
        </w:rPr>
        <w:t>w</w:t>
      </w:r>
      <w:r w:rsidRPr="00B45CB1">
        <w:rPr>
          <w:rFonts w:cs="Arial"/>
          <w:sz w:val="16"/>
          <w:szCs w:val="16"/>
        </w:rPr>
        <w:t xml:space="preserve">omen and </w:t>
      </w:r>
      <w:r>
        <w:rPr>
          <w:rFonts w:cs="Arial"/>
          <w:sz w:val="16"/>
          <w:szCs w:val="16"/>
        </w:rPr>
        <w:t>g</w:t>
      </w:r>
      <w:r w:rsidRPr="00B45CB1">
        <w:rPr>
          <w:rFonts w:cs="Arial"/>
          <w:sz w:val="16"/>
          <w:szCs w:val="16"/>
        </w:rPr>
        <w:t>irls. Plan International UK</w:t>
      </w:r>
      <w:r>
        <w:rPr>
          <w:rFonts w:cs="Arial"/>
          <w:sz w:val="16"/>
          <w:szCs w:val="16"/>
        </w:rPr>
        <w:t xml:space="preserve">; </w:t>
      </w:r>
      <w:r w:rsidRPr="00B45CB1">
        <w:rPr>
          <w:rFonts w:cs="Arial"/>
          <w:sz w:val="16"/>
          <w:szCs w:val="16"/>
        </w:rPr>
        <w:t>Social Development Direct</w:t>
      </w:r>
      <w:r>
        <w:rPr>
          <w:rFonts w:cs="Arial"/>
          <w:sz w:val="16"/>
          <w:szCs w:val="16"/>
        </w:rPr>
        <w:t xml:space="preserve">, </w:t>
      </w:r>
      <w:r w:rsidRPr="00B45CB1">
        <w:rPr>
          <w:rFonts w:cs="Arial"/>
          <w:sz w:val="16"/>
          <w:szCs w:val="16"/>
        </w:rPr>
        <w:t>London</w:t>
      </w:r>
      <w:r>
        <w:rPr>
          <w:rFonts w:cs="Arial"/>
          <w:sz w:val="16"/>
          <w:szCs w:val="16"/>
        </w:rPr>
        <w:t xml:space="preserve">. Available from: </w:t>
      </w:r>
      <w:hyperlink r:id="rId115" w:history="1">
        <w:r w:rsidRPr="00B06480">
          <w:rPr>
            <w:rStyle w:val="Hyperlink"/>
            <w:rFonts w:cs="Arial"/>
            <w:sz w:val="16"/>
            <w:szCs w:val="16"/>
          </w:rPr>
          <w:t>URL</w:t>
        </w:r>
      </w:hyperlink>
    </w:p>
  </w:footnote>
  <w:footnote w:id="128">
    <w:p w14:paraId="0C04023C" w14:textId="2FCDFDC0" w:rsidR="00B208C1" w:rsidRPr="00B45CB1" w:rsidRDefault="00B208C1" w:rsidP="00045C74">
      <w:pPr>
        <w:tabs>
          <w:tab w:val="left" w:pos="357"/>
        </w:tabs>
        <w:spacing w:after="40" w:line="240" w:lineRule="auto"/>
        <w:ind w:left="357" w:hanging="357"/>
        <w:jc w:val="both"/>
        <w:rPr>
          <w:rFonts w:ascii="Arial" w:eastAsia="Times New Roman" w:hAnsi="Arial" w:cs="Arial"/>
          <w:sz w:val="16"/>
          <w:szCs w:val="16"/>
        </w:rPr>
      </w:pPr>
      <w:r w:rsidRPr="00B45CB1">
        <w:rPr>
          <w:rStyle w:val="FootnoteReference"/>
          <w:rFonts w:ascii="Arial" w:hAnsi="Arial" w:cs="Arial"/>
          <w:sz w:val="18"/>
          <w:szCs w:val="18"/>
        </w:rPr>
        <w:footnoteRef/>
      </w:r>
      <w:r w:rsidRPr="00B45CB1">
        <w:rPr>
          <w:rFonts w:ascii="Arial" w:hAnsi="Arial" w:cs="Arial"/>
          <w:sz w:val="16"/>
          <w:szCs w:val="16"/>
        </w:rPr>
        <w:t xml:space="preserve"> </w:t>
      </w:r>
      <w:r>
        <w:rPr>
          <w:rFonts w:ascii="Arial" w:hAnsi="Arial" w:cs="Arial"/>
          <w:sz w:val="16"/>
          <w:szCs w:val="16"/>
        </w:rPr>
        <w:tab/>
      </w:r>
      <w:r w:rsidRPr="00BC596F">
        <w:rPr>
          <w:rFonts w:ascii="Arial" w:eastAsia="Times New Roman" w:hAnsi="Arial" w:cs="Arial"/>
          <w:sz w:val="16"/>
          <w:szCs w:val="16"/>
        </w:rPr>
        <w:t xml:space="preserve">Waling A, Fraser S, </w:t>
      </w:r>
      <w:r>
        <w:rPr>
          <w:rFonts w:ascii="Arial" w:eastAsia="Times New Roman" w:hAnsi="Arial" w:cs="Arial"/>
          <w:sz w:val="16"/>
          <w:szCs w:val="16"/>
        </w:rPr>
        <w:t>Fisher</w:t>
      </w:r>
      <w:r w:rsidRPr="00BC596F">
        <w:rPr>
          <w:rFonts w:ascii="Arial" w:eastAsia="Times New Roman" w:hAnsi="Arial" w:cs="Arial"/>
          <w:sz w:val="16"/>
          <w:szCs w:val="16"/>
        </w:rPr>
        <w:t xml:space="preserve">, C (2020) Young </w:t>
      </w:r>
      <w:r>
        <w:rPr>
          <w:rFonts w:ascii="Arial" w:eastAsia="Times New Roman" w:hAnsi="Arial" w:cs="Arial"/>
          <w:sz w:val="16"/>
          <w:szCs w:val="16"/>
        </w:rPr>
        <w:t>p</w:t>
      </w:r>
      <w:r w:rsidRPr="00BC596F">
        <w:rPr>
          <w:rFonts w:ascii="Arial" w:eastAsia="Times New Roman" w:hAnsi="Arial" w:cs="Arial"/>
          <w:sz w:val="16"/>
          <w:szCs w:val="16"/>
        </w:rPr>
        <w:t xml:space="preserve">eople and </w:t>
      </w:r>
      <w:r>
        <w:rPr>
          <w:rFonts w:ascii="Arial" w:eastAsia="Times New Roman" w:hAnsi="Arial" w:cs="Arial"/>
          <w:sz w:val="16"/>
          <w:szCs w:val="16"/>
        </w:rPr>
        <w:t>s</w:t>
      </w:r>
      <w:r w:rsidRPr="00BC596F">
        <w:rPr>
          <w:rFonts w:ascii="Arial" w:eastAsia="Times New Roman" w:hAnsi="Arial" w:cs="Arial"/>
          <w:sz w:val="16"/>
          <w:szCs w:val="16"/>
        </w:rPr>
        <w:t xml:space="preserve">ources of </w:t>
      </w:r>
      <w:r>
        <w:rPr>
          <w:rFonts w:ascii="Arial" w:eastAsia="Times New Roman" w:hAnsi="Arial" w:cs="Arial"/>
          <w:sz w:val="16"/>
          <w:szCs w:val="16"/>
        </w:rPr>
        <w:t>s</w:t>
      </w:r>
      <w:r w:rsidRPr="00BC596F">
        <w:rPr>
          <w:rFonts w:ascii="Arial" w:eastAsia="Times New Roman" w:hAnsi="Arial" w:cs="Arial"/>
          <w:sz w:val="16"/>
          <w:szCs w:val="16"/>
        </w:rPr>
        <w:t xml:space="preserve">exual </w:t>
      </w:r>
      <w:r>
        <w:rPr>
          <w:rFonts w:ascii="Arial" w:eastAsia="Times New Roman" w:hAnsi="Arial" w:cs="Arial"/>
          <w:sz w:val="16"/>
          <w:szCs w:val="16"/>
        </w:rPr>
        <w:t>h</w:t>
      </w:r>
      <w:r w:rsidRPr="00BC596F">
        <w:rPr>
          <w:rFonts w:ascii="Arial" w:eastAsia="Times New Roman" w:hAnsi="Arial" w:cs="Arial"/>
          <w:sz w:val="16"/>
          <w:szCs w:val="16"/>
        </w:rPr>
        <w:t xml:space="preserve">ealth </w:t>
      </w:r>
      <w:r>
        <w:rPr>
          <w:rFonts w:ascii="Arial" w:eastAsia="Times New Roman" w:hAnsi="Arial" w:cs="Arial"/>
          <w:sz w:val="16"/>
          <w:szCs w:val="16"/>
        </w:rPr>
        <w:t>i</w:t>
      </w:r>
      <w:r w:rsidRPr="00BC596F">
        <w:rPr>
          <w:rFonts w:ascii="Arial" w:eastAsia="Times New Roman" w:hAnsi="Arial" w:cs="Arial"/>
          <w:sz w:val="16"/>
          <w:szCs w:val="16"/>
        </w:rPr>
        <w:t xml:space="preserve">nformation. </w:t>
      </w:r>
      <w:r>
        <w:rPr>
          <w:rFonts w:ascii="Arial" w:eastAsia="Times New Roman" w:hAnsi="Arial" w:cs="Arial"/>
          <w:sz w:val="16"/>
          <w:szCs w:val="16"/>
        </w:rPr>
        <w:t xml:space="preserve">LaTrobe University. </w:t>
      </w:r>
      <w:r w:rsidRPr="00BC596F">
        <w:rPr>
          <w:rFonts w:ascii="Arial" w:eastAsia="Times New Roman" w:hAnsi="Arial" w:cs="Arial"/>
          <w:sz w:val="16"/>
          <w:szCs w:val="16"/>
        </w:rPr>
        <w:t xml:space="preserve">Australian Research Centre in Sex, Health and Society, </w:t>
      </w:r>
      <w:r>
        <w:rPr>
          <w:rFonts w:ascii="Arial" w:eastAsia="Times New Roman" w:hAnsi="Arial" w:cs="Arial"/>
          <w:sz w:val="16"/>
          <w:szCs w:val="16"/>
        </w:rPr>
        <w:t>Bundoora, Vic., p</w:t>
      </w:r>
      <w:r w:rsidRPr="00BC596F">
        <w:rPr>
          <w:rFonts w:ascii="Arial" w:eastAsia="Times New Roman" w:hAnsi="Arial" w:cs="Arial"/>
          <w:sz w:val="16"/>
          <w:szCs w:val="16"/>
        </w:rPr>
        <w:t xml:space="preserve">.16. </w:t>
      </w:r>
      <w:r>
        <w:rPr>
          <w:rFonts w:ascii="Arial" w:eastAsia="Times New Roman" w:hAnsi="Arial" w:cs="Arial"/>
          <w:sz w:val="16"/>
          <w:szCs w:val="16"/>
        </w:rPr>
        <w:t xml:space="preserve">- </w:t>
      </w:r>
      <w:r w:rsidRPr="00BC596F">
        <w:rPr>
          <w:rFonts w:ascii="Arial" w:eastAsia="Times New Roman" w:hAnsi="Arial" w:cs="Arial"/>
          <w:sz w:val="16"/>
          <w:szCs w:val="16"/>
        </w:rPr>
        <w:t>(</w:t>
      </w:r>
      <w:r w:rsidRPr="00073099">
        <w:rPr>
          <w:rFonts w:ascii="Arial" w:eastAsia="Times New Roman" w:hAnsi="Arial" w:cs="Arial"/>
          <w:i/>
          <w:iCs/>
          <w:sz w:val="16"/>
          <w:szCs w:val="16"/>
        </w:rPr>
        <w:t>ARCSHS Monograph Series</w:t>
      </w:r>
      <w:r>
        <w:rPr>
          <w:rFonts w:ascii="Arial" w:eastAsia="Times New Roman" w:hAnsi="Arial" w:cs="Arial"/>
          <w:i/>
          <w:iCs/>
          <w:sz w:val="16"/>
          <w:szCs w:val="16"/>
        </w:rPr>
        <w:t>;</w:t>
      </w:r>
      <w:r w:rsidRPr="00BC596F">
        <w:rPr>
          <w:rFonts w:ascii="Arial" w:eastAsia="Times New Roman" w:hAnsi="Arial" w:cs="Arial"/>
          <w:sz w:val="16"/>
          <w:szCs w:val="16"/>
        </w:rPr>
        <w:t xml:space="preserve"> </w:t>
      </w:r>
      <w:r>
        <w:rPr>
          <w:rFonts w:ascii="Arial" w:eastAsia="Times New Roman" w:hAnsi="Arial" w:cs="Arial"/>
          <w:sz w:val="16"/>
          <w:szCs w:val="16"/>
        </w:rPr>
        <w:t>n</w:t>
      </w:r>
      <w:r w:rsidRPr="00BC596F">
        <w:rPr>
          <w:rFonts w:ascii="Arial" w:eastAsia="Times New Roman" w:hAnsi="Arial" w:cs="Arial"/>
          <w:sz w:val="16"/>
          <w:szCs w:val="16"/>
        </w:rPr>
        <w:t>o. 121)</w:t>
      </w:r>
      <w:r>
        <w:rPr>
          <w:rFonts w:ascii="Arial" w:eastAsia="Times New Roman" w:hAnsi="Arial" w:cs="Arial"/>
          <w:sz w:val="16"/>
          <w:szCs w:val="16"/>
        </w:rPr>
        <w:t xml:space="preserve">. </w:t>
      </w:r>
      <w:r w:rsidRPr="00BC596F">
        <w:rPr>
          <w:rFonts w:ascii="Arial" w:eastAsia="Times New Roman" w:hAnsi="Arial" w:cs="Arial"/>
          <w:sz w:val="16"/>
          <w:szCs w:val="16"/>
        </w:rPr>
        <w:t>Available</w:t>
      </w:r>
      <w:r>
        <w:rPr>
          <w:rFonts w:ascii="Arial" w:eastAsia="Times New Roman" w:hAnsi="Arial" w:cs="Arial"/>
          <w:sz w:val="16"/>
          <w:szCs w:val="16"/>
        </w:rPr>
        <w:t xml:space="preserve"> from:</w:t>
      </w:r>
      <w:r w:rsidRPr="00BC596F">
        <w:rPr>
          <w:rFonts w:ascii="Arial" w:eastAsia="Times New Roman" w:hAnsi="Arial" w:cs="Arial"/>
          <w:sz w:val="16"/>
          <w:szCs w:val="16"/>
        </w:rPr>
        <w:t xml:space="preserve"> </w:t>
      </w:r>
      <w:hyperlink r:id="rId116" w:history="1">
        <w:r>
          <w:rPr>
            <w:rFonts w:ascii="Arial" w:eastAsia="Times New Roman" w:hAnsi="Arial" w:cs="Arial"/>
            <w:color w:val="0563C1" w:themeColor="hyperlink"/>
            <w:sz w:val="16"/>
            <w:szCs w:val="16"/>
            <w:u w:val="single"/>
          </w:rPr>
          <w:t>URL</w:t>
        </w:r>
      </w:hyperlink>
      <w:r w:rsidRPr="00B45CB1">
        <w:rPr>
          <w:rFonts w:ascii="Arial" w:eastAsia="Times New Roman" w:hAnsi="Arial" w:cs="Arial"/>
          <w:sz w:val="16"/>
          <w:szCs w:val="16"/>
          <w:u w:val="single"/>
        </w:rPr>
        <w:t xml:space="preserve"> </w:t>
      </w:r>
    </w:p>
  </w:footnote>
  <w:footnote w:id="129">
    <w:p w14:paraId="4A94E677" w14:textId="67EC59A7" w:rsidR="00B208C1" w:rsidRPr="00C91C2E" w:rsidRDefault="00B208C1" w:rsidP="00045C74">
      <w:pPr>
        <w:tabs>
          <w:tab w:val="left" w:pos="357"/>
        </w:tabs>
        <w:spacing w:after="40" w:line="240" w:lineRule="auto"/>
        <w:ind w:left="357" w:hanging="357"/>
        <w:jc w:val="both"/>
        <w:rPr>
          <w:rFonts w:ascii="Arial" w:eastAsia="Times New Roman" w:hAnsi="Arial" w:cs="Arial"/>
          <w:sz w:val="16"/>
          <w:szCs w:val="16"/>
        </w:rPr>
      </w:pPr>
      <w:r w:rsidRPr="00B45CB1">
        <w:rPr>
          <w:rStyle w:val="FootnoteReference"/>
          <w:rFonts w:ascii="Arial" w:hAnsi="Arial" w:cs="Arial"/>
          <w:sz w:val="18"/>
          <w:szCs w:val="18"/>
        </w:rPr>
        <w:footnoteRef/>
      </w:r>
      <w:r w:rsidRPr="00B45CB1">
        <w:rPr>
          <w:rFonts w:ascii="Arial" w:hAnsi="Arial" w:cs="Arial"/>
          <w:sz w:val="16"/>
          <w:szCs w:val="16"/>
        </w:rPr>
        <w:t xml:space="preserve"> </w:t>
      </w:r>
      <w:r>
        <w:rPr>
          <w:rFonts w:ascii="Arial" w:hAnsi="Arial" w:cs="Arial"/>
          <w:sz w:val="16"/>
          <w:szCs w:val="16"/>
        </w:rPr>
        <w:tab/>
        <w:t xml:space="preserve">ibid. </w:t>
      </w:r>
      <w:r w:rsidRPr="00BC596F">
        <w:rPr>
          <w:rFonts w:ascii="Arial" w:eastAsia="Times New Roman" w:hAnsi="Arial" w:cs="Arial"/>
          <w:sz w:val="16"/>
          <w:szCs w:val="16"/>
        </w:rPr>
        <w:t>Available</w:t>
      </w:r>
      <w:r>
        <w:rPr>
          <w:rFonts w:ascii="Arial" w:eastAsia="Times New Roman" w:hAnsi="Arial" w:cs="Arial"/>
          <w:sz w:val="16"/>
          <w:szCs w:val="16"/>
        </w:rPr>
        <w:t xml:space="preserve"> from:</w:t>
      </w:r>
      <w:r w:rsidRPr="00BC596F">
        <w:rPr>
          <w:rFonts w:ascii="Arial" w:eastAsia="Times New Roman" w:hAnsi="Arial" w:cs="Arial"/>
          <w:sz w:val="16"/>
          <w:szCs w:val="16"/>
        </w:rPr>
        <w:t xml:space="preserve"> </w:t>
      </w:r>
      <w:hyperlink r:id="rId117" w:history="1">
        <w:r>
          <w:rPr>
            <w:rFonts w:ascii="Arial" w:eastAsia="Times New Roman" w:hAnsi="Arial" w:cs="Arial"/>
            <w:color w:val="0563C1" w:themeColor="hyperlink"/>
            <w:sz w:val="16"/>
            <w:szCs w:val="16"/>
            <w:u w:val="single"/>
          </w:rPr>
          <w:t>URL</w:t>
        </w:r>
      </w:hyperlink>
    </w:p>
  </w:footnote>
  <w:footnote w:id="130">
    <w:p w14:paraId="3604BD03" w14:textId="03C2679D" w:rsidR="00B208C1" w:rsidRPr="00B45CB1" w:rsidRDefault="00B208C1" w:rsidP="00045C74">
      <w:pPr>
        <w:tabs>
          <w:tab w:val="left" w:pos="357"/>
        </w:tabs>
        <w:spacing w:after="40" w:line="240" w:lineRule="auto"/>
        <w:ind w:left="357" w:hanging="357"/>
        <w:jc w:val="both"/>
        <w:rPr>
          <w:rFonts w:ascii="Arial" w:eastAsia="Times New Roman" w:hAnsi="Arial" w:cs="Arial"/>
          <w:sz w:val="16"/>
          <w:szCs w:val="16"/>
        </w:rPr>
      </w:pPr>
      <w:r w:rsidRPr="00B45CB1">
        <w:rPr>
          <w:rStyle w:val="FootnoteReference"/>
          <w:rFonts w:ascii="Arial" w:hAnsi="Arial" w:cs="Arial"/>
          <w:sz w:val="18"/>
          <w:szCs w:val="18"/>
        </w:rPr>
        <w:footnoteRef/>
      </w:r>
      <w:r w:rsidRPr="00B45CB1">
        <w:rPr>
          <w:rFonts w:ascii="Arial" w:hAnsi="Arial" w:cs="Arial"/>
          <w:sz w:val="16"/>
          <w:szCs w:val="16"/>
        </w:rPr>
        <w:t xml:space="preserve"> </w:t>
      </w:r>
      <w:r>
        <w:rPr>
          <w:rFonts w:ascii="Arial" w:hAnsi="Arial" w:cs="Arial"/>
          <w:sz w:val="16"/>
          <w:szCs w:val="16"/>
        </w:rPr>
        <w:tab/>
        <w:t xml:space="preserve">ibid. </w:t>
      </w:r>
      <w:r w:rsidRPr="00BC596F">
        <w:rPr>
          <w:rFonts w:ascii="Arial" w:eastAsia="Times New Roman" w:hAnsi="Arial" w:cs="Arial"/>
          <w:sz w:val="16"/>
          <w:szCs w:val="16"/>
        </w:rPr>
        <w:t>Available</w:t>
      </w:r>
      <w:r>
        <w:rPr>
          <w:rFonts w:ascii="Arial" w:eastAsia="Times New Roman" w:hAnsi="Arial" w:cs="Arial"/>
          <w:sz w:val="16"/>
          <w:szCs w:val="16"/>
        </w:rPr>
        <w:t xml:space="preserve"> from:</w:t>
      </w:r>
      <w:r w:rsidRPr="00BC596F">
        <w:rPr>
          <w:rFonts w:ascii="Arial" w:eastAsia="Times New Roman" w:hAnsi="Arial" w:cs="Arial"/>
          <w:sz w:val="16"/>
          <w:szCs w:val="16"/>
        </w:rPr>
        <w:t xml:space="preserve"> </w:t>
      </w:r>
      <w:hyperlink r:id="rId118" w:history="1">
        <w:r>
          <w:rPr>
            <w:rFonts w:ascii="Arial" w:eastAsia="Times New Roman" w:hAnsi="Arial" w:cs="Arial"/>
            <w:color w:val="0563C1" w:themeColor="hyperlink"/>
            <w:sz w:val="16"/>
            <w:szCs w:val="16"/>
            <w:u w:val="single"/>
          </w:rPr>
          <w:t>URL</w:t>
        </w:r>
      </w:hyperlink>
    </w:p>
    <w:p w14:paraId="4D5A3B58" w14:textId="6ED3F0C2" w:rsidR="00B208C1" w:rsidRDefault="00B208C1" w:rsidP="00CC3950">
      <w:pPr>
        <w:pStyle w:val="FootnoteText"/>
      </w:pPr>
    </w:p>
  </w:footnote>
  <w:footnote w:id="131">
    <w:p w14:paraId="4D4C341E" w14:textId="3E015EA1" w:rsidR="00B208C1" w:rsidRPr="00356EBF" w:rsidRDefault="00B208C1" w:rsidP="00045C74">
      <w:pPr>
        <w:pStyle w:val="FootnoteText"/>
        <w:tabs>
          <w:tab w:val="left" w:pos="357"/>
        </w:tabs>
        <w:spacing w:after="40"/>
        <w:ind w:left="357" w:hanging="357"/>
        <w:rPr>
          <w:sz w:val="16"/>
          <w:szCs w:val="16"/>
        </w:rPr>
      </w:pPr>
      <w:r w:rsidRPr="00241565">
        <w:rPr>
          <w:rStyle w:val="FootnoteReference"/>
          <w:sz w:val="18"/>
          <w:szCs w:val="18"/>
        </w:rPr>
        <w:footnoteRef/>
      </w:r>
      <w:r w:rsidRPr="00356EBF">
        <w:rPr>
          <w:sz w:val="16"/>
          <w:szCs w:val="16"/>
        </w:rPr>
        <w:t xml:space="preserve"> </w:t>
      </w:r>
      <w:r>
        <w:rPr>
          <w:sz w:val="16"/>
          <w:szCs w:val="16"/>
        </w:rPr>
        <w:tab/>
      </w:r>
      <w:r w:rsidRPr="001343CF">
        <w:rPr>
          <w:rFonts w:cs="Arial"/>
          <w:color w:val="000000"/>
          <w:sz w:val="16"/>
          <w:szCs w:val="16"/>
        </w:rPr>
        <w:t>Ollis</w:t>
      </w:r>
      <w:r>
        <w:rPr>
          <w:rFonts w:cs="Arial"/>
          <w:color w:val="000000"/>
          <w:sz w:val="16"/>
          <w:szCs w:val="16"/>
        </w:rPr>
        <w:t xml:space="preserve"> D</w:t>
      </w:r>
      <w:r w:rsidRPr="001343CF">
        <w:rPr>
          <w:rFonts w:cs="Arial"/>
          <w:sz w:val="16"/>
          <w:szCs w:val="16"/>
        </w:rPr>
        <w:t>,</w:t>
      </w:r>
      <w:r w:rsidRPr="001343CF">
        <w:rPr>
          <w:rFonts w:cs="Arial"/>
          <w:b/>
          <w:bCs/>
          <w:sz w:val="16"/>
          <w:szCs w:val="16"/>
        </w:rPr>
        <w:t xml:space="preserve"> </w:t>
      </w:r>
      <w:r w:rsidRPr="001343CF">
        <w:rPr>
          <w:rFonts w:cs="Arial"/>
          <w:color w:val="000000"/>
          <w:sz w:val="16"/>
          <w:szCs w:val="16"/>
        </w:rPr>
        <w:t>Coll</w:t>
      </w:r>
      <w:r>
        <w:rPr>
          <w:rFonts w:cs="Arial"/>
          <w:color w:val="000000"/>
          <w:sz w:val="16"/>
          <w:szCs w:val="16"/>
        </w:rPr>
        <w:t xml:space="preserve"> L (</w:t>
      </w:r>
      <w:r w:rsidRPr="001343CF">
        <w:rPr>
          <w:rFonts w:cs="Arial"/>
          <w:color w:val="000000"/>
          <w:sz w:val="16"/>
          <w:szCs w:val="16"/>
        </w:rPr>
        <w:t>2018</w:t>
      </w:r>
      <w:r>
        <w:rPr>
          <w:rFonts w:cs="Arial"/>
          <w:color w:val="000000"/>
          <w:sz w:val="16"/>
          <w:szCs w:val="16"/>
        </w:rPr>
        <w:t>)</w:t>
      </w:r>
      <w:r w:rsidRPr="001343CF">
        <w:rPr>
          <w:rFonts w:cs="Arial"/>
          <w:sz w:val="16"/>
          <w:szCs w:val="16"/>
        </w:rPr>
        <w:t xml:space="preserve"> </w:t>
      </w:r>
      <w:r w:rsidRPr="00C96657">
        <w:rPr>
          <w:rFonts w:cs="Arial"/>
          <w:color w:val="000000"/>
          <w:sz w:val="16"/>
          <w:szCs w:val="16"/>
        </w:rPr>
        <w:t xml:space="preserve">Beyond </w:t>
      </w:r>
      <w:r>
        <w:rPr>
          <w:rFonts w:cs="Arial"/>
          <w:color w:val="000000"/>
          <w:sz w:val="16"/>
          <w:szCs w:val="16"/>
        </w:rPr>
        <w:t>t</w:t>
      </w:r>
      <w:r w:rsidRPr="00C96657">
        <w:rPr>
          <w:rFonts w:cs="Arial"/>
          <w:color w:val="000000"/>
          <w:sz w:val="16"/>
          <w:szCs w:val="16"/>
        </w:rPr>
        <w:t>eaching the</w:t>
      </w:r>
      <w:r>
        <w:rPr>
          <w:rFonts w:cs="Arial"/>
          <w:color w:val="000000"/>
          <w:sz w:val="16"/>
          <w:szCs w:val="16"/>
        </w:rPr>
        <w:t xml:space="preserve"> </w:t>
      </w:r>
      <w:r w:rsidRPr="00C96657">
        <w:rPr>
          <w:rFonts w:cs="Arial"/>
          <w:sz w:val="16"/>
          <w:szCs w:val="16"/>
        </w:rPr>
        <w:t>‘</w:t>
      </w:r>
      <w:r>
        <w:rPr>
          <w:rFonts w:cs="Arial"/>
          <w:sz w:val="16"/>
          <w:szCs w:val="16"/>
        </w:rPr>
        <w:t>t</w:t>
      </w:r>
      <w:r w:rsidRPr="00C96657">
        <w:rPr>
          <w:rFonts w:cs="Arial"/>
          <w:color w:val="000000"/>
          <w:sz w:val="16"/>
          <w:szCs w:val="16"/>
        </w:rPr>
        <w:t xml:space="preserve">aboo’: </w:t>
      </w:r>
      <w:r>
        <w:rPr>
          <w:rFonts w:cs="Arial"/>
          <w:color w:val="000000"/>
          <w:sz w:val="16"/>
          <w:szCs w:val="16"/>
        </w:rPr>
        <w:t>r</w:t>
      </w:r>
      <w:r w:rsidRPr="00C96657">
        <w:rPr>
          <w:rFonts w:cs="Arial"/>
          <w:color w:val="000000"/>
          <w:sz w:val="16"/>
          <w:szCs w:val="16"/>
        </w:rPr>
        <w:t xml:space="preserve">enegotiating </w:t>
      </w:r>
      <w:r>
        <w:rPr>
          <w:rFonts w:cs="Arial"/>
          <w:color w:val="000000"/>
          <w:sz w:val="16"/>
          <w:szCs w:val="16"/>
        </w:rPr>
        <w:t>s</w:t>
      </w:r>
      <w:r w:rsidRPr="00C96657">
        <w:rPr>
          <w:rFonts w:cs="Arial"/>
          <w:color w:val="000000"/>
          <w:sz w:val="16"/>
          <w:szCs w:val="16"/>
        </w:rPr>
        <w:t xml:space="preserve">exuality and </w:t>
      </w:r>
      <w:r>
        <w:rPr>
          <w:rFonts w:cs="Arial"/>
          <w:color w:val="000000"/>
          <w:sz w:val="16"/>
          <w:szCs w:val="16"/>
        </w:rPr>
        <w:t>r</w:t>
      </w:r>
      <w:r w:rsidRPr="00C96657">
        <w:rPr>
          <w:rFonts w:cs="Arial"/>
          <w:color w:val="000000"/>
          <w:sz w:val="16"/>
          <w:szCs w:val="16"/>
        </w:rPr>
        <w:t xml:space="preserve">elationships </w:t>
      </w:r>
      <w:r>
        <w:rPr>
          <w:rFonts w:cs="Arial"/>
          <w:color w:val="000000"/>
          <w:sz w:val="16"/>
          <w:szCs w:val="16"/>
        </w:rPr>
        <w:t>e</w:t>
      </w:r>
      <w:r w:rsidRPr="00C96657">
        <w:rPr>
          <w:rFonts w:cs="Arial"/>
          <w:color w:val="000000"/>
          <w:sz w:val="16"/>
          <w:szCs w:val="16"/>
        </w:rPr>
        <w:t>ducation’s boundaries with students and teachers</w:t>
      </w:r>
      <w:r>
        <w:rPr>
          <w:rFonts w:cs="Arial"/>
          <w:color w:val="000000"/>
          <w:sz w:val="16"/>
          <w:szCs w:val="16"/>
        </w:rPr>
        <w:t>.</w:t>
      </w:r>
      <w:r w:rsidRPr="001343CF">
        <w:rPr>
          <w:rFonts w:cs="Arial"/>
          <w:color w:val="000000"/>
          <w:sz w:val="16"/>
          <w:szCs w:val="16"/>
        </w:rPr>
        <w:t xml:space="preserve"> </w:t>
      </w:r>
      <w:r w:rsidRPr="00F94721">
        <w:rPr>
          <w:rFonts w:cs="Arial"/>
          <w:i/>
          <w:iCs/>
          <w:color w:val="000000"/>
          <w:sz w:val="16"/>
          <w:szCs w:val="16"/>
        </w:rPr>
        <w:t>Active and Healthy Journal</w:t>
      </w:r>
      <w:r>
        <w:rPr>
          <w:rFonts w:cs="Arial"/>
          <w:color w:val="000000"/>
          <w:sz w:val="16"/>
          <w:szCs w:val="16"/>
        </w:rPr>
        <w:t>. 25(Issue 2/3):47-54.</w:t>
      </w:r>
    </w:p>
  </w:footnote>
  <w:footnote w:id="132">
    <w:p w14:paraId="63CD0A11" w14:textId="331E5E28" w:rsidR="00B208C1" w:rsidRPr="00356EBF" w:rsidRDefault="00B208C1" w:rsidP="00045C74">
      <w:pPr>
        <w:pStyle w:val="FootnoteText"/>
        <w:tabs>
          <w:tab w:val="left" w:pos="357"/>
        </w:tabs>
        <w:spacing w:after="40"/>
        <w:ind w:left="357" w:hanging="357"/>
        <w:rPr>
          <w:sz w:val="16"/>
          <w:szCs w:val="16"/>
        </w:rPr>
      </w:pPr>
      <w:r w:rsidRPr="00241565">
        <w:rPr>
          <w:rStyle w:val="FootnoteReference"/>
          <w:sz w:val="18"/>
          <w:szCs w:val="18"/>
        </w:rPr>
        <w:footnoteRef/>
      </w:r>
      <w:r w:rsidRPr="00356EBF">
        <w:rPr>
          <w:sz w:val="16"/>
          <w:szCs w:val="16"/>
        </w:rPr>
        <w:t xml:space="preserve"> </w:t>
      </w:r>
      <w:r>
        <w:rPr>
          <w:sz w:val="16"/>
          <w:szCs w:val="16"/>
        </w:rPr>
        <w:tab/>
      </w:r>
      <w:r w:rsidRPr="00B84799">
        <w:rPr>
          <w:rFonts w:cs="Arial"/>
          <w:color w:val="000000"/>
          <w:sz w:val="16"/>
          <w:szCs w:val="16"/>
          <w:shd w:val="clear" w:color="auto" w:fill="FFFFFF"/>
        </w:rPr>
        <w:t>Ollis</w:t>
      </w:r>
      <w:r>
        <w:rPr>
          <w:rFonts w:cs="Arial"/>
          <w:color w:val="000000"/>
          <w:sz w:val="16"/>
          <w:szCs w:val="16"/>
          <w:shd w:val="clear" w:color="auto" w:fill="FFFFFF"/>
        </w:rPr>
        <w:t xml:space="preserve"> D, </w:t>
      </w:r>
      <w:r w:rsidRPr="00B84799">
        <w:rPr>
          <w:rFonts w:cs="Arial"/>
          <w:color w:val="000000"/>
          <w:sz w:val="16"/>
          <w:szCs w:val="16"/>
          <w:shd w:val="clear" w:color="auto" w:fill="FFFFFF"/>
        </w:rPr>
        <w:t>Harrison L</w:t>
      </w:r>
      <w:r>
        <w:rPr>
          <w:rFonts w:cs="Arial"/>
          <w:color w:val="000000"/>
          <w:sz w:val="16"/>
          <w:szCs w:val="16"/>
          <w:shd w:val="clear" w:color="auto" w:fill="FFFFFF"/>
        </w:rPr>
        <w:t xml:space="preserve"> (</w:t>
      </w:r>
      <w:r w:rsidRPr="00B84799">
        <w:rPr>
          <w:rFonts w:cs="Arial"/>
          <w:color w:val="000000"/>
          <w:sz w:val="16"/>
          <w:szCs w:val="16"/>
          <w:shd w:val="clear" w:color="auto" w:fill="FFFFFF"/>
        </w:rPr>
        <w:t>2016</w:t>
      </w:r>
      <w:r>
        <w:rPr>
          <w:rFonts w:cs="Arial"/>
          <w:color w:val="000000"/>
          <w:sz w:val="16"/>
          <w:szCs w:val="16"/>
          <w:shd w:val="clear" w:color="auto" w:fill="FFFFFF"/>
        </w:rPr>
        <w:t>)</w:t>
      </w:r>
      <w:r w:rsidRPr="00B84799">
        <w:rPr>
          <w:rFonts w:cs="Arial"/>
          <w:color w:val="000000"/>
          <w:sz w:val="16"/>
          <w:szCs w:val="16"/>
          <w:shd w:val="clear" w:color="auto" w:fill="FFFFFF"/>
        </w:rPr>
        <w:t xml:space="preserve"> Lessons in building capacity in sexuality education using the health promoting school framework: from planning to implementation</w:t>
      </w:r>
      <w:r>
        <w:rPr>
          <w:rFonts w:cs="Arial"/>
          <w:color w:val="000000"/>
          <w:sz w:val="16"/>
          <w:szCs w:val="16"/>
          <w:shd w:val="clear" w:color="auto" w:fill="FFFFFF"/>
        </w:rPr>
        <w:t>.</w:t>
      </w:r>
      <w:r w:rsidRPr="00B84799">
        <w:rPr>
          <w:rFonts w:cs="Arial"/>
          <w:i/>
          <w:iCs/>
          <w:color w:val="000000"/>
          <w:sz w:val="16"/>
          <w:szCs w:val="16"/>
          <w:shd w:val="clear" w:color="auto" w:fill="FFFFFF"/>
        </w:rPr>
        <w:t xml:space="preserve"> Health </w:t>
      </w:r>
      <w:r>
        <w:rPr>
          <w:rFonts w:cs="Arial"/>
          <w:i/>
          <w:iCs/>
          <w:color w:val="000000"/>
          <w:sz w:val="16"/>
          <w:szCs w:val="16"/>
          <w:shd w:val="clear" w:color="auto" w:fill="FFFFFF"/>
        </w:rPr>
        <w:t>E</w:t>
      </w:r>
      <w:r w:rsidRPr="00B84799">
        <w:rPr>
          <w:rFonts w:cs="Arial"/>
          <w:i/>
          <w:iCs/>
          <w:color w:val="000000"/>
          <w:sz w:val="16"/>
          <w:szCs w:val="16"/>
          <w:shd w:val="clear" w:color="auto" w:fill="FFFFFF"/>
        </w:rPr>
        <w:t>ducation</w:t>
      </w:r>
      <w:r w:rsidRPr="00B84799">
        <w:rPr>
          <w:rFonts w:cs="Arial"/>
          <w:color w:val="000000"/>
          <w:sz w:val="16"/>
          <w:szCs w:val="16"/>
          <w:shd w:val="clear" w:color="auto" w:fill="FFFFFF"/>
        </w:rPr>
        <w:t xml:space="preserve">, </w:t>
      </w:r>
      <w:r>
        <w:rPr>
          <w:rFonts w:cs="Arial"/>
          <w:color w:val="000000"/>
          <w:sz w:val="16"/>
          <w:szCs w:val="16"/>
          <w:shd w:val="clear" w:color="auto" w:fill="FFFFFF"/>
        </w:rPr>
        <w:t>116(2):</w:t>
      </w:r>
      <w:r w:rsidRPr="00B84799">
        <w:rPr>
          <w:rFonts w:cs="Arial"/>
          <w:color w:val="000000"/>
          <w:sz w:val="16"/>
          <w:szCs w:val="16"/>
          <w:shd w:val="clear" w:color="auto" w:fill="FFFFFF"/>
        </w:rPr>
        <w:t>138-153</w:t>
      </w:r>
      <w:r>
        <w:rPr>
          <w:rFonts w:cs="Arial"/>
          <w:color w:val="000000"/>
          <w:sz w:val="16"/>
          <w:szCs w:val="16"/>
          <w:shd w:val="clear" w:color="auto" w:fill="FFFFFF"/>
        </w:rPr>
        <w:t>.</w:t>
      </w:r>
    </w:p>
  </w:footnote>
  <w:footnote w:id="133">
    <w:p w14:paraId="1923CE03" w14:textId="363C59D3" w:rsidR="00B208C1" w:rsidRPr="00A86C72" w:rsidRDefault="00B208C1" w:rsidP="00045C74">
      <w:pPr>
        <w:pStyle w:val="FootnoteText"/>
        <w:tabs>
          <w:tab w:val="left" w:pos="357"/>
        </w:tabs>
        <w:spacing w:after="40"/>
        <w:ind w:left="357" w:hanging="357"/>
        <w:jc w:val="both"/>
        <w:rPr>
          <w:rFonts w:cs="Arial"/>
          <w:sz w:val="16"/>
          <w:szCs w:val="16"/>
        </w:rPr>
      </w:pPr>
      <w:r w:rsidRPr="00E82616">
        <w:rPr>
          <w:rStyle w:val="FootnoteReference"/>
          <w:rFonts w:cs="Arial"/>
          <w:sz w:val="18"/>
          <w:szCs w:val="18"/>
        </w:rPr>
        <w:footnoteRef/>
      </w:r>
      <w:r w:rsidRPr="00A86C72">
        <w:rPr>
          <w:rFonts w:cs="Arial"/>
          <w:sz w:val="16"/>
          <w:szCs w:val="16"/>
        </w:rPr>
        <w:t xml:space="preserve"> </w:t>
      </w:r>
      <w:r>
        <w:rPr>
          <w:rFonts w:cs="Arial"/>
          <w:sz w:val="16"/>
          <w:szCs w:val="16"/>
        </w:rPr>
        <w:tab/>
      </w:r>
      <w:r w:rsidRPr="00180308">
        <w:rPr>
          <w:rStyle w:val="author"/>
          <w:rFonts w:cs="Arial"/>
          <w:color w:val="292B2C"/>
          <w:sz w:val="16"/>
          <w:szCs w:val="16"/>
        </w:rPr>
        <w:t xml:space="preserve">Armour M, Parry K, Manohar N, Holmes K, Ferfolja T, Curry C, et al. (2019) </w:t>
      </w:r>
      <w:r w:rsidRPr="00180308">
        <w:rPr>
          <w:rFonts w:cs="Arial"/>
          <w:sz w:val="16"/>
          <w:szCs w:val="16"/>
        </w:rPr>
        <w:t>The prevalence and academic impact of dysmenorrhea in 21,573 young women: a systematic review and meta-analysis.</w:t>
      </w:r>
      <w:r w:rsidRPr="00180308">
        <w:rPr>
          <w:rStyle w:val="author"/>
          <w:rFonts w:cs="Arial"/>
          <w:color w:val="292B2C"/>
          <w:sz w:val="16"/>
          <w:szCs w:val="16"/>
        </w:rPr>
        <w:t xml:space="preserve"> </w:t>
      </w:r>
      <w:r w:rsidRPr="00180308">
        <w:rPr>
          <w:rStyle w:val="journal-title"/>
          <w:rFonts w:cs="Arial"/>
          <w:i/>
          <w:iCs/>
          <w:color w:val="292B2C"/>
          <w:sz w:val="16"/>
          <w:szCs w:val="16"/>
        </w:rPr>
        <w:t>Journal of Women's Health</w:t>
      </w:r>
      <w:r w:rsidRPr="00180308">
        <w:rPr>
          <w:rStyle w:val="journal-title"/>
          <w:rFonts w:cs="Arial"/>
          <w:color w:val="292B2C"/>
          <w:sz w:val="16"/>
          <w:szCs w:val="16"/>
        </w:rPr>
        <w:t>.</w:t>
      </w:r>
      <w:r w:rsidRPr="00180308">
        <w:rPr>
          <w:rStyle w:val="cover-date"/>
          <w:rFonts w:cs="Arial"/>
          <w:color w:val="292B2C"/>
          <w:sz w:val="16"/>
          <w:szCs w:val="16"/>
        </w:rPr>
        <w:t xml:space="preserve"> 28(8):</w:t>
      </w:r>
      <w:r w:rsidRPr="00180308">
        <w:rPr>
          <w:rFonts w:cs="Arial"/>
          <w:color w:val="292B2C"/>
          <w:sz w:val="16"/>
          <w:szCs w:val="16"/>
        </w:rPr>
        <w:t>1161-1171</w:t>
      </w:r>
      <w:r w:rsidRPr="00180308">
        <w:rPr>
          <w:rStyle w:val="cover-date"/>
          <w:rFonts w:cs="Arial"/>
          <w:color w:val="292B2C"/>
          <w:sz w:val="16"/>
          <w:szCs w:val="16"/>
        </w:rPr>
        <w:t xml:space="preserve">. Available from: </w:t>
      </w:r>
      <w:hyperlink r:id="rId119" w:history="1">
        <w:r w:rsidRPr="00180308">
          <w:rPr>
            <w:rStyle w:val="Hyperlink"/>
            <w:rFonts w:cs="Arial"/>
            <w:sz w:val="16"/>
            <w:szCs w:val="16"/>
          </w:rPr>
          <w:t>URL</w:t>
        </w:r>
      </w:hyperlink>
    </w:p>
  </w:footnote>
  <w:footnote w:id="134">
    <w:p w14:paraId="0DA30DE1" w14:textId="608A6DCA" w:rsidR="00B208C1" w:rsidRPr="00A86C72" w:rsidRDefault="00B208C1" w:rsidP="00045C74">
      <w:pPr>
        <w:pStyle w:val="FootnoteText"/>
        <w:tabs>
          <w:tab w:val="left" w:pos="357"/>
        </w:tabs>
        <w:spacing w:after="40"/>
        <w:ind w:left="357" w:hanging="357"/>
        <w:jc w:val="both"/>
        <w:rPr>
          <w:rFonts w:cs="Arial"/>
          <w:sz w:val="16"/>
          <w:szCs w:val="16"/>
        </w:rPr>
      </w:pPr>
      <w:r w:rsidRPr="00E82616">
        <w:rPr>
          <w:rStyle w:val="FootnoteReference"/>
          <w:rFonts w:cs="Arial"/>
          <w:sz w:val="18"/>
          <w:szCs w:val="18"/>
        </w:rPr>
        <w:footnoteRef/>
      </w:r>
      <w:r w:rsidRPr="00A86C72">
        <w:rPr>
          <w:rFonts w:cs="Arial"/>
          <w:sz w:val="16"/>
          <w:szCs w:val="16"/>
        </w:rPr>
        <w:t xml:space="preserve"> </w:t>
      </w:r>
      <w:r>
        <w:rPr>
          <w:rFonts w:cs="Arial"/>
          <w:sz w:val="16"/>
          <w:szCs w:val="16"/>
        </w:rPr>
        <w:tab/>
      </w:r>
      <w:r w:rsidRPr="00A86C72">
        <w:rPr>
          <w:rFonts w:cs="Arial"/>
          <w:sz w:val="16"/>
          <w:szCs w:val="16"/>
        </w:rPr>
        <w:t>Sachedin A</w:t>
      </w:r>
      <w:r>
        <w:rPr>
          <w:rFonts w:cs="Arial"/>
          <w:sz w:val="16"/>
          <w:szCs w:val="16"/>
        </w:rPr>
        <w:t>,</w:t>
      </w:r>
      <w:r w:rsidRPr="00A86C72">
        <w:rPr>
          <w:rFonts w:cs="Arial"/>
          <w:sz w:val="16"/>
          <w:szCs w:val="16"/>
        </w:rPr>
        <w:t xml:space="preserve"> Todd N (2020) </w:t>
      </w:r>
      <w:r w:rsidRPr="00773BDC">
        <w:rPr>
          <w:rFonts w:cs="Arial"/>
          <w:sz w:val="16"/>
          <w:szCs w:val="16"/>
        </w:rPr>
        <w:t>Dysmenorrhea, endometriosis and chronic pelvic pain in adolescents</w:t>
      </w:r>
      <w:r w:rsidRPr="00A86C72">
        <w:rPr>
          <w:rFonts w:cs="Arial"/>
          <w:sz w:val="16"/>
          <w:szCs w:val="16"/>
        </w:rPr>
        <w:t xml:space="preserve"> </w:t>
      </w:r>
      <w:r w:rsidRPr="00A86C72">
        <w:rPr>
          <w:rFonts w:cs="Arial"/>
          <w:i/>
          <w:iCs/>
          <w:sz w:val="16"/>
          <w:szCs w:val="16"/>
        </w:rPr>
        <w:t>Journal of Clinical Research in Pediatric Endocrinology</w:t>
      </w:r>
      <w:r>
        <w:rPr>
          <w:rFonts w:cs="Arial"/>
          <w:sz w:val="16"/>
          <w:szCs w:val="16"/>
        </w:rPr>
        <w:t xml:space="preserve">. </w:t>
      </w:r>
      <w:r w:rsidRPr="00A86C72">
        <w:rPr>
          <w:rFonts w:cs="Arial"/>
          <w:sz w:val="16"/>
          <w:szCs w:val="16"/>
        </w:rPr>
        <w:t>12(Suppl</w:t>
      </w:r>
      <w:r>
        <w:rPr>
          <w:rFonts w:cs="Arial"/>
          <w:sz w:val="16"/>
          <w:szCs w:val="16"/>
        </w:rPr>
        <w:t xml:space="preserve">. </w:t>
      </w:r>
      <w:r w:rsidRPr="00A86C72">
        <w:rPr>
          <w:rFonts w:cs="Arial"/>
          <w:sz w:val="16"/>
          <w:szCs w:val="16"/>
        </w:rPr>
        <w:t>1):7-17.</w:t>
      </w:r>
      <w:r>
        <w:rPr>
          <w:rFonts w:cs="Arial"/>
          <w:sz w:val="16"/>
          <w:szCs w:val="16"/>
        </w:rPr>
        <w:t xml:space="preserve"> Available from: </w:t>
      </w:r>
      <w:hyperlink r:id="rId120" w:history="1">
        <w:r w:rsidRPr="00773BDC">
          <w:rPr>
            <w:rStyle w:val="Hyperlink"/>
            <w:rFonts w:cs="Arial"/>
            <w:sz w:val="16"/>
            <w:szCs w:val="16"/>
          </w:rPr>
          <w:t>URL</w:t>
        </w:r>
      </w:hyperlink>
    </w:p>
  </w:footnote>
  <w:footnote w:id="135">
    <w:p w14:paraId="43581A79" w14:textId="7F89C667" w:rsidR="00B208C1" w:rsidRPr="00A86C72" w:rsidRDefault="00B208C1" w:rsidP="00045C74">
      <w:pPr>
        <w:pStyle w:val="FootnoteText"/>
        <w:tabs>
          <w:tab w:val="left" w:pos="357"/>
        </w:tabs>
        <w:spacing w:after="40"/>
        <w:ind w:left="357" w:hanging="357"/>
        <w:jc w:val="both"/>
        <w:rPr>
          <w:rFonts w:cs="Arial"/>
          <w:sz w:val="16"/>
          <w:szCs w:val="16"/>
        </w:rPr>
      </w:pPr>
      <w:r w:rsidRPr="00E82616">
        <w:rPr>
          <w:rStyle w:val="FootnoteReference"/>
          <w:rFonts w:cs="Arial"/>
          <w:sz w:val="18"/>
          <w:szCs w:val="18"/>
        </w:rPr>
        <w:footnoteRef/>
      </w:r>
      <w:r w:rsidRPr="00A86C72">
        <w:rPr>
          <w:rFonts w:cs="Arial"/>
          <w:sz w:val="16"/>
          <w:szCs w:val="16"/>
        </w:rPr>
        <w:t xml:space="preserve"> </w:t>
      </w:r>
      <w:r>
        <w:rPr>
          <w:rFonts w:cs="Arial"/>
          <w:sz w:val="16"/>
          <w:szCs w:val="16"/>
        </w:rPr>
        <w:tab/>
      </w:r>
      <w:r w:rsidRPr="00A86C72">
        <w:rPr>
          <w:rFonts w:cs="Arial"/>
          <w:sz w:val="16"/>
          <w:szCs w:val="16"/>
        </w:rPr>
        <w:t xml:space="preserve">Armour M, Hyman MS, Al-Dabbas M, Parry K, Ferfolja T, Curry C, et al. </w:t>
      </w:r>
      <w:r>
        <w:rPr>
          <w:rFonts w:cs="Arial"/>
          <w:sz w:val="16"/>
          <w:szCs w:val="16"/>
        </w:rPr>
        <w:t>(2020)</w:t>
      </w:r>
      <w:r w:rsidRPr="00A86C72">
        <w:rPr>
          <w:rFonts w:cs="Arial"/>
          <w:sz w:val="16"/>
          <w:szCs w:val="16"/>
        </w:rPr>
        <w:t xml:space="preserve"> </w:t>
      </w:r>
      <w:r w:rsidRPr="00A403F4">
        <w:rPr>
          <w:rFonts w:cs="Arial"/>
          <w:sz w:val="16"/>
          <w:szCs w:val="16"/>
        </w:rPr>
        <w:t>Menstrual health literacy and management strategies in young women in Australia: a national online survey of young women aged 13-25.</w:t>
      </w:r>
      <w:r w:rsidRPr="00A86C72">
        <w:rPr>
          <w:rFonts w:cs="Arial"/>
          <w:sz w:val="16"/>
          <w:szCs w:val="16"/>
        </w:rPr>
        <w:t xml:space="preserve"> </w:t>
      </w:r>
      <w:r w:rsidRPr="00A86C72">
        <w:rPr>
          <w:rFonts w:cs="Arial"/>
          <w:i/>
          <w:iCs/>
          <w:sz w:val="16"/>
          <w:szCs w:val="16"/>
        </w:rPr>
        <w:t>Journal of Pediatric and Adolescent Gynecology</w:t>
      </w:r>
      <w:r>
        <w:rPr>
          <w:rFonts w:cs="Arial"/>
          <w:i/>
          <w:iCs/>
          <w:sz w:val="16"/>
          <w:szCs w:val="16"/>
        </w:rPr>
        <w:t xml:space="preserve">. </w:t>
      </w:r>
      <w:r w:rsidRPr="00E6491F">
        <w:rPr>
          <w:rFonts w:cs="Arial"/>
          <w:sz w:val="16"/>
          <w:szCs w:val="16"/>
        </w:rPr>
        <w:t>Online</w:t>
      </w:r>
      <w:r>
        <w:rPr>
          <w:rFonts w:cs="Arial"/>
          <w:sz w:val="16"/>
          <w:szCs w:val="16"/>
        </w:rPr>
        <w:t xml:space="preserve"> in-press</w:t>
      </w:r>
      <w:r w:rsidRPr="00E6491F">
        <w:rPr>
          <w:rFonts w:cs="Arial"/>
          <w:sz w:val="16"/>
          <w:szCs w:val="16"/>
        </w:rPr>
        <w:t xml:space="preserve"> </w:t>
      </w:r>
      <w:r w:rsidRPr="00A403F4">
        <w:rPr>
          <w:rFonts w:cs="Arial"/>
          <w:sz w:val="16"/>
          <w:szCs w:val="16"/>
        </w:rPr>
        <w:t>(Nov 11)</w:t>
      </w:r>
      <w:r>
        <w:rPr>
          <w:rFonts w:cs="Arial"/>
          <w:sz w:val="16"/>
          <w:szCs w:val="16"/>
        </w:rPr>
        <w:t xml:space="preserve">. Accessed: November 2020. Available from: </w:t>
      </w:r>
      <w:hyperlink r:id="rId121" w:anchor="articleInformation" w:history="1">
        <w:r w:rsidRPr="00A403F4">
          <w:rPr>
            <w:rStyle w:val="Hyperlink"/>
            <w:rFonts w:cs="Arial"/>
            <w:sz w:val="16"/>
            <w:szCs w:val="16"/>
          </w:rPr>
          <w:t>URL</w:t>
        </w:r>
      </w:hyperlink>
    </w:p>
  </w:footnote>
  <w:footnote w:id="136">
    <w:p w14:paraId="6F5E8C16" w14:textId="26C0BE4A" w:rsidR="00B208C1" w:rsidRPr="00E6491F" w:rsidRDefault="00B208C1" w:rsidP="00045C74">
      <w:pPr>
        <w:tabs>
          <w:tab w:val="left" w:pos="357"/>
        </w:tabs>
        <w:spacing w:after="40" w:line="240" w:lineRule="auto"/>
        <w:ind w:left="357" w:hanging="357"/>
        <w:jc w:val="both"/>
        <w:rPr>
          <w:rFonts w:ascii="Arial" w:eastAsia="Times New Roman" w:hAnsi="Arial" w:cs="Arial"/>
          <w:sz w:val="16"/>
          <w:szCs w:val="16"/>
          <w:u w:val="single"/>
        </w:rPr>
      </w:pPr>
      <w:r w:rsidRPr="00E82616">
        <w:rPr>
          <w:rStyle w:val="FootnoteReference"/>
          <w:rFonts w:ascii="Arial" w:hAnsi="Arial" w:cs="Arial"/>
          <w:sz w:val="18"/>
          <w:szCs w:val="18"/>
        </w:rPr>
        <w:footnoteRef/>
      </w:r>
      <w:r w:rsidRPr="00A86C72">
        <w:rPr>
          <w:rFonts w:ascii="Arial" w:hAnsi="Arial" w:cs="Arial"/>
          <w:sz w:val="16"/>
          <w:szCs w:val="16"/>
        </w:rPr>
        <w:t xml:space="preserve"> </w:t>
      </w:r>
      <w:r>
        <w:rPr>
          <w:rFonts w:ascii="Arial" w:hAnsi="Arial" w:cs="Arial"/>
          <w:sz w:val="16"/>
          <w:szCs w:val="16"/>
        </w:rPr>
        <w:tab/>
      </w:r>
      <w:r w:rsidRPr="00A86C72">
        <w:rPr>
          <w:rFonts w:ascii="Arial" w:eastAsia="Times New Roman" w:hAnsi="Arial" w:cs="Arial"/>
          <w:sz w:val="16"/>
          <w:szCs w:val="16"/>
        </w:rPr>
        <w:t>Endometriosis Australia</w:t>
      </w:r>
      <w:r>
        <w:rPr>
          <w:rFonts w:ascii="Arial" w:eastAsia="Times New Roman" w:hAnsi="Arial" w:cs="Arial"/>
          <w:sz w:val="16"/>
          <w:szCs w:val="16"/>
        </w:rPr>
        <w:t xml:space="preserve"> (2020) Endo facts [Webpage], </w:t>
      </w:r>
      <w:r w:rsidRPr="00A86C72">
        <w:rPr>
          <w:rFonts w:ascii="Arial" w:eastAsia="Times New Roman" w:hAnsi="Arial" w:cs="Arial"/>
          <w:sz w:val="16"/>
          <w:szCs w:val="16"/>
        </w:rPr>
        <w:t>cited December 2020</w:t>
      </w:r>
      <w:r>
        <w:rPr>
          <w:rFonts w:ascii="Arial" w:eastAsia="Times New Roman" w:hAnsi="Arial" w:cs="Arial"/>
          <w:sz w:val="16"/>
          <w:szCs w:val="16"/>
        </w:rPr>
        <w:t xml:space="preserve">. Available from: </w:t>
      </w:r>
      <w:hyperlink r:id="rId122" w:history="1">
        <w:r>
          <w:rPr>
            <w:rFonts w:ascii="Arial" w:eastAsia="Times New Roman" w:hAnsi="Arial" w:cs="Arial"/>
            <w:color w:val="0563C1" w:themeColor="hyperlink"/>
            <w:sz w:val="16"/>
            <w:szCs w:val="16"/>
            <w:u w:val="single"/>
          </w:rPr>
          <w:t>URL</w:t>
        </w:r>
      </w:hyperlink>
    </w:p>
  </w:footnote>
  <w:footnote w:id="137">
    <w:p w14:paraId="610CD145" w14:textId="0C21F090" w:rsidR="00B208C1" w:rsidRPr="00A86C72" w:rsidRDefault="00B208C1" w:rsidP="00045C74">
      <w:pPr>
        <w:pStyle w:val="FootnoteText"/>
        <w:tabs>
          <w:tab w:val="left" w:pos="357"/>
        </w:tabs>
        <w:spacing w:after="40"/>
        <w:ind w:left="357" w:hanging="357"/>
        <w:jc w:val="both"/>
        <w:rPr>
          <w:rFonts w:cs="Arial"/>
          <w:sz w:val="16"/>
          <w:szCs w:val="16"/>
          <w:lang w:val="en-US"/>
        </w:rPr>
      </w:pPr>
      <w:r w:rsidRPr="00E82616">
        <w:rPr>
          <w:rStyle w:val="FootnoteReference"/>
          <w:rFonts w:cs="Arial"/>
          <w:sz w:val="18"/>
          <w:szCs w:val="18"/>
        </w:rPr>
        <w:footnoteRef/>
      </w:r>
      <w:r w:rsidRPr="00A86C72">
        <w:rPr>
          <w:rFonts w:cs="Arial"/>
          <w:sz w:val="16"/>
          <w:szCs w:val="16"/>
        </w:rPr>
        <w:t xml:space="preserve"> </w:t>
      </w:r>
      <w:r>
        <w:rPr>
          <w:rFonts w:cs="Arial"/>
          <w:sz w:val="16"/>
          <w:szCs w:val="16"/>
        </w:rPr>
        <w:tab/>
      </w:r>
      <w:r w:rsidRPr="00A86C72">
        <w:rPr>
          <w:rFonts w:cs="Arial"/>
          <w:sz w:val="16"/>
          <w:szCs w:val="16"/>
        </w:rPr>
        <w:fldChar w:fldCharType="begin"/>
      </w:r>
      <w:r w:rsidRPr="00A86C72">
        <w:rPr>
          <w:rFonts w:cs="Arial"/>
          <w:sz w:val="16"/>
          <w:szCs w:val="16"/>
        </w:rPr>
        <w:instrText xml:space="preserve"> ADDIN EN.CITE &lt;EndNote&gt;&lt;Cite&gt;&lt;Author&gt;Jean Hailes for Women&amp;apos;s Health&lt;/Author&gt;&lt;Year&gt;2016&lt;/Year&gt;&lt;RecNum&gt;718&lt;/RecNum&gt;&lt;DisplayText&gt;Jean Hailes for Women&amp;apos;s Health (2016) Endometriosis [Fact Sheet]&lt;/DisplayText&gt;&lt;record&gt;&lt;rec-number&gt;718&lt;/rec-number&gt;&lt;foreign-keys&gt;&lt;key app="EN" db-id="ssa09sw2ttazvjex2225xtt350ewfx2vadfs"&gt;718&lt;/key&gt;&lt;/foreign-keys&gt;&lt;ref-type name="Book"&gt;6&lt;/ref-type&gt;&lt;contributors&gt;&lt;authors&gt;&lt;author&gt;Jean Hailes for Women&amp;apos;s Health,&lt;/author&gt;&lt;/authors&gt;&lt;/contributors&gt;&lt;titles&gt;&lt;title&gt;Endometriosis [Fact Sheet]&lt;/title&gt;&lt;/titles&gt;&lt;dates&gt;&lt;year&gt;2016&lt;/year&gt;&lt;/dates&gt;&lt;pub-location&gt;Melbourne&lt;/pub-location&gt;&lt;publisher&gt;Jean Hailes for Women&amp;apos;s Health&lt;/publisher&gt;&lt;urls&gt;&lt;related-urls&gt;&lt;url&gt;https://jeanhailes.org.au/contents/documents/Resources/Fact_sheets/Endometriosis.pdf&lt;/url&gt;&lt;/related-urls&gt;&lt;/urls&gt;&lt;/record&gt;&lt;/Cite&gt;&lt;/EndNote&gt;</w:instrText>
      </w:r>
      <w:r w:rsidRPr="00A86C72">
        <w:rPr>
          <w:rFonts w:cs="Arial"/>
          <w:sz w:val="16"/>
          <w:szCs w:val="16"/>
        </w:rPr>
        <w:fldChar w:fldCharType="separate"/>
      </w:r>
      <w:r w:rsidRPr="00A86C72">
        <w:rPr>
          <w:rFonts w:cs="Arial"/>
          <w:noProof/>
          <w:sz w:val="16"/>
          <w:szCs w:val="16"/>
        </w:rPr>
        <w:t>Jean Hailes for Women's Health (2016) Endometriosis [Fact Sheet]</w:t>
      </w:r>
      <w:r w:rsidRPr="00A86C72">
        <w:rPr>
          <w:rFonts w:cs="Arial"/>
          <w:sz w:val="16"/>
          <w:szCs w:val="16"/>
        </w:rPr>
        <w:fldChar w:fldCharType="end"/>
      </w:r>
      <w:r w:rsidRPr="00A86C72">
        <w:rPr>
          <w:rFonts w:cs="Arial"/>
          <w:sz w:val="16"/>
          <w:szCs w:val="16"/>
        </w:rPr>
        <w:t xml:space="preserve">. Available from: </w:t>
      </w:r>
      <w:hyperlink r:id="rId123" w:history="1">
        <w:r w:rsidRPr="00A86C72">
          <w:rPr>
            <w:rStyle w:val="Hyperlink"/>
            <w:rFonts w:cs="Arial"/>
            <w:sz w:val="16"/>
            <w:szCs w:val="16"/>
          </w:rPr>
          <w:t>URL</w:t>
        </w:r>
      </w:hyperlink>
    </w:p>
  </w:footnote>
  <w:footnote w:id="138">
    <w:p w14:paraId="43C52E51" w14:textId="76E6841B" w:rsidR="00B208C1" w:rsidRPr="00A86C72" w:rsidRDefault="00B208C1" w:rsidP="00045C74">
      <w:pPr>
        <w:pStyle w:val="NormalWeb"/>
        <w:tabs>
          <w:tab w:val="left" w:pos="357"/>
        </w:tabs>
        <w:spacing w:after="40" w:line="240" w:lineRule="auto"/>
        <w:ind w:left="357" w:hanging="357"/>
        <w:jc w:val="both"/>
        <w:rPr>
          <w:rFonts w:ascii="Arial" w:hAnsi="Arial" w:cs="Arial"/>
          <w:sz w:val="16"/>
          <w:szCs w:val="16"/>
          <w:shd w:val="clear" w:color="auto" w:fill="FFFFFF"/>
        </w:rPr>
      </w:pPr>
      <w:r w:rsidRPr="00E82616">
        <w:rPr>
          <w:rStyle w:val="FootnoteReference"/>
          <w:rFonts w:ascii="Arial" w:hAnsi="Arial" w:cs="Arial"/>
          <w:sz w:val="18"/>
          <w:szCs w:val="18"/>
        </w:rPr>
        <w:footnoteRef/>
      </w:r>
      <w:r w:rsidRPr="00A86C72">
        <w:rPr>
          <w:rFonts w:ascii="Arial" w:hAnsi="Arial" w:cs="Arial"/>
          <w:sz w:val="16"/>
          <w:szCs w:val="16"/>
        </w:rPr>
        <w:t xml:space="preserve"> </w:t>
      </w:r>
      <w:r w:rsidRPr="00A86C72">
        <w:rPr>
          <w:rFonts w:ascii="Arial" w:hAnsi="Arial" w:cs="Arial"/>
          <w:sz w:val="16"/>
          <w:szCs w:val="16"/>
        </w:rPr>
        <w:tab/>
      </w:r>
      <w:r w:rsidRPr="00A86C72">
        <w:rPr>
          <w:rFonts w:ascii="Arial" w:hAnsi="Arial" w:cs="Arial"/>
          <w:sz w:val="16"/>
          <w:szCs w:val="16"/>
        </w:rPr>
        <w:fldChar w:fldCharType="begin"/>
      </w:r>
      <w:r w:rsidRPr="00A86C72">
        <w:rPr>
          <w:rFonts w:ascii="Arial" w:hAnsi="Arial" w:cs="Arial"/>
          <w:sz w:val="16"/>
          <w:szCs w:val="16"/>
        </w:rPr>
        <w:instrText xml:space="preserve"> ADDIN EN.CITE &lt;EndNote&gt;&lt;Cite&gt;&lt;Author&gt;Jean Hailes for Women&amp;apos;s Health&lt;/Author&gt;&lt;Year&gt;2017&lt;/Year&gt;&lt;RecNum&gt;716&lt;/RecNum&gt;&lt;DisplayText&gt;Jean Hailes for Women&amp;apos;s Health (2017)&lt;style face="bold"&gt; &lt;/style&gt;Health A-Z : endometriosis [Webpage]. &lt;/DisplayText&gt;&lt;record&gt;&lt;rec-number&gt;716&lt;/rec-number&gt;&lt;foreign-keys&gt;&lt;key app="EN" db-id="ssa09sw2ttazvjex2225xtt350ewfx2vadfs"&gt;716&lt;/key&gt;&lt;/foreign-keys&gt;&lt;ref-type name="Web Page"&gt;12&lt;/ref-type&gt;&lt;contributors&gt;&lt;authors&gt;&lt;author&gt;Jean Hailes for Women&amp;apos;s Health,&lt;/author&gt;&lt;/authors&gt;&lt;/contributors&gt;&lt;titles&gt;&lt;title&gt;Health A-Z : endometriosis [Webpage]&lt;/title&gt;&lt;/titles&gt;&lt;dates&gt;&lt;year&gt;2017&lt;/year&gt;&lt;/dates&gt;&lt;pub-location&gt;Melbourne&lt;/pub-location&gt;&lt;publisher&gt;Jean Hailes for Women&amp;apos;s Health&lt;/publisher&gt;&lt;urls&gt;&lt;related-urls&gt;&lt;url&gt;https://jeanhailes.org.au/health-a-z/endometriosis&lt;/url&gt;&lt;/related-urls&gt;&lt;/urls&gt;&lt;/record&gt;&lt;/Cite&gt;&lt;/EndNote&gt;</w:instrText>
      </w:r>
      <w:r w:rsidRPr="00A86C72">
        <w:rPr>
          <w:rFonts w:ascii="Arial" w:hAnsi="Arial" w:cs="Arial"/>
          <w:sz w:val="16"/>
          <w:szCs w:val="16"/>
        </w:rPr>
        <w:fldChar w:fldCharType="separate"/>
      </w:r>
      <w:r w:rsidRPr="00A86C72">
        <w:rPr>
          <w:rFonts w:ascii="Arial" w:hAnsi="Arial" w:cs="Arial"/>
          <w:noProof/>
          <w:sz w:val="16"/>
          <w:szCs w:val="16"/>
        </w:rPr>
        <w:t>Jean Hailes for Women's Health (2017)</w:t>
      </w:r>
      <w:r w:rsidRPr="00A86C72">
        <w:rPr>
          <w:rFonts w:ascii="Arial" w:hAnsi="Arial" w:cs="Arial"/>
          <w:b/>
          <w:noProof/>
          <w:sz w:val="16"/>
          <w:szCs w:val="16"/>
        </w:rPr>
        <w:t xml:space="preserve"> </w:t>
      </w:r>
      <w:r w:rsidRPr="00A86C72">
        <w:rPr>
          <w:rFonts w:ascii="Arial" w:hAnsi="Arial" w:cs="Arial"/>
          <w:noProof/>
          <w:sz w:val="16"/>
          <w:szCs w:val="16"/>
        </w:rPr>
        <w:t>Health</w:t>
      </w:r>
      <w:r>
        <w:rPr>
          <w:rFonts w:ascii="Arial" w:hAnsi="Arial" w:cs="Arial"/>
          <w:noProof/>
          <w:sz w:val="16"/>
          <w:szCs w:val="16"/>
        </w:rPr>
        <w:t xml:space="preserve"> topics: E</w:t>
      </w:r>
      <w:r w:rsidRPr="00A86C72">
        <w:rPr>
          <w:rFonts w:ascii="Arial" w:hAnsi="Arial" w:cs="Arial"/>
          <w:noProof/>
          <w:sz w:val="16"/>
          <w:szCs w:val="16"/>
        </w:rPr>
        <w:t xml:space="preserve">ndometriosis [Webpage]. </w:t>
      </w:r>
      <w:r w:rsidRPr="00A86C72">
        <w:rPr>
          <w:rFonts w:ascii="Arial" w:hAnsi="Arial" w:cs="Arial"/>
          <w:sz w:val="16"/>
          <w:szCs w:val="16"/>
        </w:rPr>
        <w:fldChar w:fldCharType="end"/>
      </w:r>
      <w:r w:rsidRPr="00A86C72">
        <w:rPr>
          <w:rFonts w:ascii="Arial" w:hAnsi="Arial" w:cs="Arial"/>
          <w:sz w:val="16"/>
          <w:szCs w:val="16"/>
        </w:rPr>
        <w:t xml:space="preserve">Available from: </w:t>
      </w:r>
      <w:hyperlink r:id="rId124" w:history="1">
        <w:r w:rsidRPr="00A86C72">
          <w:rPr>
            <w:rStyle w:val="Hyperlink"/>
            <w:rFonts w:ascii="Arial" w:hAnsi="Arial" w:cs="Arial"/>
            <w:sz w:val="16"/>
            <w:szCs w:val="16"/>
          </w:rPr>
          <w:t>URL</w:t>
        </w:r>
      </w:hyperlink>
    </w:p>
  </w:footnote>
  <w:footnote w:id="139">
    <w:p w14:paraId="324B2BD7" w14:textId="6874F160" w:rsidR="00B208C1" w:rsidRPr="00A86C72" w:rsidRDefault="00B208C1" w:rsidP="00045C74">
      <w:pPr>
        <w:tabs>
          <w:tab w:val="left" w:pos="357"/>
        </w:tabs>
        <w:spacing w:after="40" w:line="240" w:lineRule="auto"/>
        <w:ind w:left="357" w:hanging="357"/>
        <w:jc w:val="both"/>
        <w:rPr>
          <w:rFonts w:ascii="Arial" w:eastAsia="Times New Roman" w:hAnsi="Arial" w:cs="Arial"/>
          <w:sz w:val="16"/>
          <w:szCs w:val="16"/>
        </w:rPr>
      </w:pPr>
      <w:r w:rsidRPr="00E82616">
        <w:rPr>
          <w:rStyle w:val="FootnoteReference"/>
          <w:rFonts w:ascii="Arial" w:hAnsi="Arial" w:cs="Arial"/>
          <w:sz w:val="18"/>
          <w:szCs w:val="18"/>
        </w:rPr>
        <w:footnoteRef/>
      </w:r>
      <w:r w:rsidRPr="00A86C72">
        <w:rPr>
          <w:rFonts w:ascii="Arial" w:hAnsi="Arial" w:cs="Arial"/>
          <w:sz w:val="16"/>
          <w:szCs w:val="16"/>
        </w:rPr>
        <w:t xml:space="preserve"> </w:t>
      </w:r>
      <w:r>
        <w:rPr>
          <w:rFonts w:ascii="Arial" w:hAnsi="Arial" w:cs="Arial"/>
          <w:sz w:val="16"/>
          <w:szCs w:val="16"/>
        </w:rPr>
        <w:tab/>
      </w:r>
      <w:r w:rsidRPr="00A86C72">
        <w:rPr>
          <w:rFonts w:ascii="Arial" w:eastAsia="Times New Roman" w:hAnsi="Arial" w:cs="Arial"/>
          <w:sz w:val="16"/>
          <w:szCs w:val="16"/>
        </w:rPr>
        <w:t>Jean Hail</w:t>
      </w:r>
      <w:r>
        <w:rPr>
          <w:rFonts w:ascii="Arial" w:eastAsia="Times New Roman" w:hAnsi="Arial" w:cs="Arial"/>
          <w:sz w:val="16"/>
          <w:szCs w:val="16"/>
        </w:rPr>
        <w:t>e</w:t>
      </w:r>
      <w:r w:rsidRPr="00A86C72">
        <w:rPr>
          <w:rFonts w:ascii="Arial" w:eastAsia="Times New Roman" w:hAnsi="Arial" w:cs="Arial"/>
          <w:sz w:val="16"/>
          <w:szCs w:val="16"/>
        </w:rPr>
        <w:t>s</w:t>
      </w:r>
      <w:r>
        <w:rPr>
          <w:rFonts w:ascii="Arial" w:eastAsia="Times New Roman" w:hAnsi="Arial" w:cs="Arial"/>
          <w:sz w:val="16"/>
          <w:szCs w:val="16"/>
        </w:rPr>
        <w:t xml:space="preserve"> for Women’s Health (2019) </w:t>
      </w:r>
      <w:r w:rsidRPr="00A86C72">
        <w:rPr>
          <w:rFonts w:ascii="Arial" w:eastAsia="Times New Roman" w:hAnsi="Arial" w:cs="Arial"/>
          <w:sz w:val="16"/>
          <w:szCs w:val="16"/>
        </w:rPr>
        <w:t>P</w:t>
      </w:r>
      <w:r>
        <w:rPr>
          <w:rFonts w:ascii="Arial" w:eastAsia="Times New Roman" w:hAnsi="Arial" w:cs="Arial"/>
          <w:sz w:val="16"/>
          <w:szCs w:val="16"/>
        </w:rPr>
        <w:t>olycystic ovary syndrome (P</w:t>
      </w:r>
      <w:r w:rsidRPr="00A86C72">
        <w:rPr>
          <w:rFonts w:ascii="Arial" w:eastAsia="Times New Roman" w:hAnsi="Arial" w:cs="Arial"/>
          <w:sz w:val="16"/>
          <w:szCs w:val="16"/>
        </w:rPr>
        <w:t>COS</w:t>
      </w:r>
      <w:r>
        <w:rPr>
          <w:rFonts w:ascii="Arial" w:eastAsia="Times New Roman" w:hAnsi="Arial" w:cs="Arial"/>
          <w:sz w:val="16"/>
          <w:szCs w:val="16"/>
        </w:rPr>
        <w:t>)</w:t>
      </w:r>
      <w:r w:rsidRPr="00A86C72">
        <w:rPr>
          <w:rFonts w:ascii="Arial" w:eastAsia="Times New Roman" w:hAnsi="Arial" w:cs="Arial"/>
          <w:sz w:val="16"/>
          <w:szCs w:val="16"/>
        </w:rPr>
        <w:t xml:space="preserve"> </w:t>
      </w:r>
      <w:r>
        <w:rPr>
          <w:rFonts w:ascii="Arial" w:eastAsia="Times New Roman" w:hAnsi="Arial" w:cs="Arial"/>
          <w:sz w:val="16"/>
          <w:szCs w:val="16"/>
        </w:rPr>
        <w:t>[</w:t>
      </w:r>
      <w:r w:rsidRPr="00A86C72">
        <w:rPr>
          <w:rFonts w:ascii="Arial" w:eastAsia="Times New Roman" w:hAnsi="Arial" w:cs="Arial"/>
          <w:sz w:val="16"/>
          <w:szCs w:val="16"/>
        </w:rPr>
        <w:t>Fact Sheet</w:t>
      </w:r>
      <w:r>
        <w:rPr>
          <w:rFonts w:ascii="Arial" w:eastAsia="Times New Roman" w:hAnsi="Arial" w:cs="Arial"/>
          <w:sz w:val="16"/>
          <w:szCs w:val="16"/>
        </w:rPr>
        <w:t xml:space="preserve">]. Available from: </w:t>
      </w:r>
      <w:hyperlink r:id="rId125" w:history="1">
        <w:r>
          <w:rPr>
            <w:rFonts w:ascii="Arial" w:eastAsia="Times New Roman" w:hAnsi="Arial" w:cs="Arial"/>
            <w:color w:val="0563C1" w:themeColor="hyperlink"/>
            <w:sz w:val="16"/>
            <w:szCs w:val="16"/>
            <w:u w:val="single"/>
          </w:rPr>
          <w:t>URL</w:t>
        </w:r>
      </w:hyperlink>
    </w:p>
  </w:footnote>
  <w:footnote w:id="140">
    <w:p w14:paraId="6C66B773" w14:textId="02613590" w:rsidR="00B208C1" w:rsidRPr="00A86C72" w:rsidRDefault="00B208C1" w:rsidP="00045C74">
      <w:pPr>
        <w:tabs>
          <w:tab w:val="left" w:pos="357"/>
        </w:tabs>
        <w:spacing w:after="40" w:line="240" w:lineRule="auto"/>
        <w:ind w:left="357" w:hanging="357"/>
        <w:jc w:val="both"/>
        <w:rPr>
          <w:rFonts w:ascii="Arial" w:eastAsia="Times New Roman" w:hAnsi="Arial" w:cs="Arial"/>
          <w:sz w:val="16"/>
          <w:szCs w:val="16"/>
        </w:rPr>
      </w:pPr>
      <w:r w:rsidRPr="00E82616">
        <w:rPr>
          <w:rStyle w:val="FootnoteReference"/>
          <w:rFonts w:ascii="Arial" w:hAnsi="Arial" w:cs="Arial"/>
          <w:sz w:val="18"/>
          <w:szCs w:val="18"/>
        </w:rPr>
        <w:footnoteRef/>
      </w:r>
      <w:r w:rsidRPr="00E82616">
        <w:rPr>
          <w:rFonts w:ascii="Arial" w:hAnsi="Arial" w:cs="Arial"/>
          <w:sz w:val="18"/>
          <w:szCs w:val="18"/>
        </w:rPr>
        <w:t xml:space="preserve"> </w:t>
      </w:r>
      <w:r>
        <w:rPr>
          <w:rFonts w:ascii="Arial" w:hAnsi="Arial" w:cs="Arial"/>
          <w:sz w:val="16"/>
          <w:szCs w:val="16"/>
        </w:rPr>
        <w:tab/>
        <w:t xml:space="preserve">Healthdirect (2018) </w:t>
      </w:r>
      <w:r w:rsidRPr="00A86C72">
        <w:rPr>
          <w:rFonts w:ascii="Arial" w:eastAsia="Times New Roman" w:hAnsi="Arial" w:cs="Arial"/>
          <w:sz w:val="16"/>
          <w:szCs w:val="16"/>
        </w:rPr>
        <w:t>P</w:t>
      </w:r>
      <w:r>
        <w:rPr>
          <w:rFonts w:ascii="Arial" w:eastAsia="Times New Roman" w:hAnsi="Arial" w:cs="Arial"/>
          <w:sz w:val="16"/>
          <w:szCs w:val="16"/>
        </w:rPr>
        <w:t xml:space="preserve">olycystic ovarian syndrome (PCOS) [Webpage]. </w:t>
      </w:r>
      <w:r w:rsidRPr="00A86C72">
        <w:rPr>
          <w:rFonts w:ascii="Arial" w:eastAsia="Times New Roman" w:hAnsi="Arial" w:cs="Arial"/>
          <w:sz w:val="16"/>
          <w:szCs w:val="16"/>
        </w:rPr>
        <w:t>Available</w:t>
      </w:r>
      <w:r>
        <w:rPr>
          <w:rFonts w:ascii="Arial" w:eastAsia="Times New Roman" w:hAnsi="Arial" w:cs="Arial"/>
          <w:sz w:val="16"/>
          <w:szCs w:val="16"/>
        </w:rPr>
        <w:t xml:space="preserve"> from: </w:t>
      </w:r>
      <w:hyperlink r:id="rId126" w:history="1">
        <w:r>
          <w:rPr>
            <w:rFonts w:ascii="Arial" w:eastAsia="Times New Roman" w:hAnsi="Arial" w:cs="Arial"/>
            <w:color w:val="0563C1" w:themeColor="hyperlink"/>
            <w:sz w:val="16"/>
            <w:szCs w:val="16"/>
            <w:u w:val="single"/>
          </w:rPr>
          <w:t>URL</w:t>
        </w:r>
      </w:hyperlink>
    </w:p>
  </w:footnote>
  <w:footnote w:id="141">
    <w:p w14:paraId="4F9BFF2B" w14:textId="722FE6AE" w:rsidR="00B208C1" w:rsidRPr="00A86C72" w:rsidRDefault="00B208C1" w:rsidP="00045C74">
      <w:pPr>
        <w:tabs>
          <w:tab w:val="left" w:pos="357"/>
        </w:tabs>
        <w:spacing w:after="40" w:line="240" w:lineRule="auto"/>
        <w:ind w:left="357" w:hanging="357"/>
        <w:jc w:val="both"/>
        <w:rPr>
          <w:rFonts w:ascii="Arial" w:eastAsia="Times New Roman" w:hAnsi="Arial" w:cs="Arial"/>
          <w:sz w:val="16"/>
          <w:szCs w:val="16"/>
        </w:rPr>
      </w:pPr>
      <w:r w:rsidRPr="00E82616">
        <w:rPr>
          <w:rStyle w:val="FootnoteReference"/>
          <w:rFonts w:ascii="Arial" w:hAnsi="Arial" w:cs="Arial"/>
          <w:sz w:val="18"/>
          <w:szCs w:val="18"/>
        </w:rPr>
        <w:footnoteRef/>
      </w:r>
      <w:r w:rsidRPr="00A86C72">
        <w:rPr>
          <w:rFonts w:ascii="Arial" w:hAnsi="Arial" w:cs="Arial"/>
          <w:sz w:val="16"/>
          <w:szCs w:val="16"/>
        </w:rPr>
        <w:t xml:space="preserve"> </w:t>
      </w:r>
      <w:r>
        <w:rPr>
          <w:rFonts w:ascii="Arial" w:eastAsia="Times New Roman" w:hAnsi="Arial" w:cs="Arial"/>
          <w:sz w:val="16"/>
          <w:szCs w:val="16"/>
        </w:rPr>
        <w:tab/>
        <w:t>J</w:t>
      </w:r>
      <w:r w:rsidRPr="00A86C72">
        <w:rPr>
          <w:rFonts w:ascii="Arial" w:eastAsia="Times New Roman" w:hAnsi="Arial" w:cs="Arial"/>
          <w:sz w:val="16"/>
          <w:szCs w:val="16"/>
        </w:rPr>
        <w:t>ean Hail</w:t>
      </w:r>
      <w:r>
        <w:rPr>
          <w:rFonts w:ascii="Arial" w:eastAsia="Times New Roman" w:hAnsi="Arial" w:cs="Arial"/>
          <w:sz w:val="16"/>
          <w:szCs w:val="16"/>
        </w:rPr>
        <w:t>e</w:t>
      </w:r>
      <w:r w:rsidRPr="00A86C72">
        <w:rPr>
          <w:rFonts w:ascii="Arial" w:eastAsia="Times New Roman" w:hAnsi="Arial" w:cs="Arial"/>
          <w:sz w:val="16"/>
          <w:szCs w:val="16"/>
        </w:rPr>
        <w:t>s</w:t>
      </w:r>
      <w:r>
        <w:rPr>
          <w:rFonts w:ascii="Arial" w:eastAsia="Times New Roman" w:hAnsi="Arial" w:cs="Arial"/>
          <w:sz w:val="16"/>
          <w:szCs w:val="16"/>
        </w:rPr>
        <w:t xml:space="preserve"> for Women (2019) </w:t>
      </w:r>
      <w:r w:rsidRPr="00A86C72">
        <w:rPr>
          <w:rFonts w:ascii="Arial" w:eastAsia="Times New Roman" w:hAnsi="Arial" w:cs="Arial"/>
          <w:sz w:val="16"/>
          <w:szCs w:val="16"/>
        </w:rPr>
        <w:t>P</w:t>
      </w:r>
      <w:r>
        <w:rPr>
          <w:rFonts w:ascii="Arial" w:eastAsia="Times New Roman" w:hAnsi="Arial" w:cs="Arial"/>
          <w:sz w:val="16"/>
          <w:szCs w:val="16"/>
        </w:rPr>
        <w:t>olycystic ovary syndrome (P</w:t>
      </w:r>
      <w:r w:rsidRPr="00A86C72">
        <w:rPr>
          <w:rFonts w:ascii="Arial" w:eastAsia="Times New Roman" w:hAnsi="Arial" w:cs="Arial"/>
          <w:sz w:val="16"/>
          <w:szCs w:val="16"/>
        </w:rPr>
        <w:t>COS</w:t>
      </w:r>
      <w:r>
        <w:rPr>
          <w:rFonts w:ascii="Arial" w:eastAsia="Times New Roman" w:hAnsi="Arial" w:cs="Arial"/>
          <w:sz w:val="16"/>
          <w:szCs w:val="16"/>
        </w:rPr>
        <w:t>)</w:t>
      </w:r>
      <w:r w:rsidRPr="00A86C72">
        <w:rPr>
          <w:rFonts w:ascii="Arial" w:eastAsia="Times New Roman" w:hAnsi="Arial" w:cs="Arial"/>
          <w:sz w:val="16"/>
          <w:szCs w:val="16"/>
        </w:rPr>
        <w:t xml:space="preserve"> </w:t>
      </w:r>
      <w:r>
        <w:rPr>
          <w:rFonts w:ascii="Arial" w:eastAsia="Times New Roman" w:hAnsi="Arial" w:cs="Arial"/>
          <w:sz w:val="16"/>
          <w:szCs w:val="16"/>
        </w:rPr>
        <w:t>[</w:t>
      </w:r>
      <w:r w:rsidRPr="00A86C72">
        <w:rPr>
          <w:rFonts w:ascii="Arial" w:eastAsia="Times New Roman" w:hAnsi="Arial" w:cs="Arial"/>
          <w:sz w:val="16"/>
          <w:szCs w:val="16"/>
        </w:rPr>
        <w:t>Fact Sheet</w:t>
      </w:r>
      <w:r>
        <w:rPr>
          <w:rFonts w:ascii="Arial" w:eastAsia="Times New Roman" w:hAnsi="Arial" w:cs="Arial"/>
          <w:sz w:val="16"/>
          <w:szCs w:val="16"/>
        </w:rPr>
        <w:t xml:space="preserve">]. Available from: </w:t>
      </w:r>
      <w:hyperlink r:id="rId127" w:history="1">
        <w:r>
          <w:rPr>
            <w:rFonts w:ascii="Arial" w:eastAsia="Times New Roman" w:hAnsi="Arial" w:cs="Arial"/>
            <w:color w:val="0563C1" w:themeColor="hyperlink"/>
            <w:sz w:val="16"/>
            <w:szCs w:val="16"/>
            <w:u w:val="single"/>
          </w:rPr>
          <w:t>URL</w:t>
        </w:r>
      </w:hyperlink>
    </w:p>
  </w:footnote>
  <w:footnote w:id="142">
    <w:p w14:paraId="18D3EF58" w14:textId="46A57342" w:rsidR="00B208C1" w:rsidRPr="00A86C72" w:rsidRDefault="00B208C1" w:rsidP="00045C74">
      <w:pPr>
        <w:pStyle w:val="FootnoteText"/>
        <w:tabs>
          <w:tab w:val="left" w:pos="357"/>
        </w:tabs>
        <w:spacing w:after="40"/>
        <w:ind w:left="357" w:hanging="357"/>
        <w:jc w:val="both"/>
        <w:rPr>
          <w:rFonts w:cs="Arial"/>
          <w:sz w:val="16"/>
          <w:szCs w:val="16"/>
        </w:rPr>
      </w:pPr>
      <w:r w:rsidRPr="00E82616">
        <w:rPr>
          <w:rStyle w:val="FootnoteReference"/>
          <w:rFonts w:cs="Arial"/>
          <w:sz w:val="18"/>
          <w:szCs w:val="18"/>
        </w:rPr>
        <w:footnoteRef/>
      </w:r>
      <w:r w:rsidRPr="00A86C72">
        <w:rPr>
          <w:rFonts w:cs="Arial"/>
          <w:sz w:val="16"/>
          <w:szCs w:val="16"/>
        </w:rPr>
        <w:t xml:space="preserve"> </w:t>
      </w:r>
      <w:r>
        <w:rPr>
          <w:rFonts w:cs="Arial"/>
          <w:sz w:val="16"/>
          <w:szCs w:val="16"/>
        </w:rPr>
        <w:tab/>
      </w:r>
      <w:r w:rsidRPr="00A86C72">
        <w:rPr>
          <w:rFonts w:cs="Arial"/>
          <w:sz w:val="16"/>
          <w:szCs w:val="16"/>
        </w:rPr>
        <w:t>Amour M</w:t>
      </w:r>
      <w:r>
        <w:rPr>
          <w:rFonts w:cs="Arial"/>
          <w:sz w:val="16"/>
          <w:szCs w:val="16"/>
        </w:rPr>
        <w:t>, Holmes K, Parry KA</w:t>
      </w:r>
      <w:r w:rsidRPr="00A86C72">
        <w:rPr>
          <w:rFonts w:cs="Arial"/>
          <w:sz w:val="16"/>
          <w:szCs w:val="16"/>
        </w:rPr>
        <w:t xml:space="preserve"> (2020</w:t>
      </w:r>
      <w:r w:rsidRPr="00E82616">
        <w:rPr>
          <w:rFonts w:cs="Arial"/>
          <w:sz w:val="16"/>
          <w:szCs w:val="16"/>
        </w:rPr>
        <w:t>) 3 out of 10 girls skip class because of painful periods</w:t>
      </w:r>
      <w:r>
        <w:rPr>
          <w:rFonts w:cs="Arial"/>
          <w:sz w:val="16"/>
          <w:szCs w:val="16"/>
        </w:rPr>
        <w:t>: a</w:t>
      </w:r>
      <w:r w:rsidRPr="00E82616">
        <w:rPr>
          <w:rFonts w:cs="Arial"/>
          <w:sz w:val="16"/>
          <w:szCs w:val="16"/>
        </w:rPr>
        <w:t>nd most won’t talk to their teacher about it</w:t>
      </w:r>
      <w:r>
        <w:rPr>
          <w:rFonts w:cs="Arial"/>
          <w:sz w:val="16"/>
          <w:szCs w:val="16"/>
        </w:rPr>
        <w:t>.</w:t>
      </w:r>
      <w:r w:rsidRPr="00A86C72">
        <w:rPr>
          <w:rFonts w:cs="Arial"/>
          <w:sz w:val="16"/>
          <w:szCs w:val="16"/>
        </w:rPr>
        <w:t xml:space="preserve"> </w:t>
      </w:r>
      <w:r w:rsidRPr="00E82616">
        <w:rPr>
          <w:rFonts w:cs="Arial"/>
          <w:i/>
          <w:iCs/>
          <w:sz w:val="16"/>
          <w:szCs w:val="16"/>
        </w:rPr>
        <w:t>The Conversation</w:t>
      </w:r>
      <w:r>
        <w:rPr>
          <w:rFonts w:cs="Arial"/>
          <w:i/>
          <w:iCs/>
          <w:sz w:val="16"/>
          <w:szCs w:val="16"/>
        </w:rPr>
        <w:t xml:space="preserve">. </w:t>
      </w:r>
      <w:r w:rsidRPr="00E82616">
        <w:rPr>
          <w:rFonts w:cs="Arial"/>
          <w:sz w:val="16"/>
          <w:szCs w:val="16"/>
        </w:rPr>
        <w:t>(Nov 23):1 webpage</w:t>
      </w:r>
      <w:r w:rsidRPr="00A86C72">
        <w:rPr>
          <w:rFonts w:cs="Arial"/>
          <w:sz w:val="16"/>
          <w:szCs w:val="16"/>
        </w:rPr>
        <w:t>.</w:t>
      </w:r>
      <w:r>
        <w:rPr>
          <w:rFonts w:cs="Arial"/>
          <w:sz w:val="16"/>
          <w:szCs w:val="16"/>
        </w:rPr>
        <w:t xml:space="preserve"> Available from: </w:t>
      </w:r>
      <w:hyperlink r:id="rId128" w:history="1">
        <w:r w:rsidRPr="00E82616">
          <w:rPr>
            <w:rStyle w:val="Hyperlink"/>
            <w:rFonts w:cs="Arial"/>
            <w:sz w:val="16"/>
            <w:szCs w:val="16"/>
          </w:rPr>
          <w:t>URL</w:t>
        </w:r>
      </w:hyperlink>
    </w:p>
  </w:footnote>
  <w:footnote w:id="143">
    <w:p w14:paraId="70721DD7" w14:textId="281F3224" w:rsidR="00B208C1" w:rsidRPr="00A86C72" w:rsidRDefault="00B208C1" w:rsidP="00045C74">
      <w:pPr>
        <w:tabs>
          <w:tab w:val="left" w:pos="357"/>
        </w:tabs>
        <w:spacing w:after="40" w:line="240" w:lineRule="auto"/>
        <w:ind w:left="357" w:hanging="357"/>
        <w:jc w:val="both"/>
        <w:rPr>
          <w:rFonts w:ascii="Arial" w:eastAsia="Times New Roman" w:hAnsi="Arial" w:cs="Arial"/>
          <w:color w:val="0563C1" w:themeColor="hyperlink"/>
          <w:sz w:val="16"/>
          <w:szCs w:val="16"/>
          <w:u w:val="single"/>
        </w:rPr>
      </w:pPr>
      <w:r w:rsidRPr="00A86C72">
        <w:rPr>
          <w:rStyle w:val="FootnoteReference"/>
          <w:rFonts w:ascii="Arial" w:hAnsi="Arial" w:cs="Arial"/>
          <w:sz w:val="16"/>
          <w:szCs w:val="16"/>
        </w:rPr>
        <w:footnoteRef/>
      </w:r>
      <w:r w:rsidRPr="00A86C72">
        <w:rPr>
          <w:rFonts w:ascii="Arial" w:hAnsi="Arial" w:cs="Arial"/>
          <w:sz w:val="16"/>
          <w:szCs w:val="16"/>
        </w:rPr>
        <w:t xml:space="preserve"> </w:t>
      </w:r>
      <w:r>
        <w:rPr>
          <w:rFonts w:ascii="Arial" w:eastAsia="Times New Roman" w:hAnsi="Arial" w:cs="Arial"/>
          <w:sz w:val="16"/>
          <w:szCs w:val="16"/>
        </w:rPr>
        <w:tab/>
        <w:t>W</w:t>
      </w:r>
      <w:r w:rsidRPr="00A86C72">
        <w:rPr>
          <w:rFonts w:ascii="Arial" w:eastAsia="Times New Roman" w:hAnsi="Arial" w:cs="Arial"/>
          <w:sz w:val="16"/>
          <w:szCs w:val="16"/>
        </w:rPr>
        <w:t>aling A, Fraser S, Fisher, C (2020) Young people and sources of sexual health information. LaTrobe University. Australian Research Centre in Sex, Health and Society, Bundoora, Vic., p.16. - (</w:t>
      </w:r>
      <w:r w:rsidRPr="00A86C72">
        <w:rPr>
          <w:rFonts w:ascii="Arial" w:eastAsia="Times New Roman" w:hAnsi="Arial" w:cs="Arial"/>
          <w:i/>
          <w:iCs/>
          <w:sz w:val="16"/>
          <w:szCs w:val="16"/>
        </w:rPr>
        <w:t>ARCSHS Monograph Series;</w:t>
      </w:r>
      <w:r w:rsidRPr="00A86C72">
        <w:rPr>
          <w:rFonts w:ascii="Arial" w:eastAsia="Times New Roman" w:hAnsi="Arial" w:cs="Arial"/>
          <w:sz w:val="16"/>
          <w:szCs w:val="16"/>
        </w:rPr>
        <w:t xml:space="preserve"> no. 121). Available from: </w:t>
      </w:r>
      <w:hyperlink r:id="rId129" w:history="1">
        <w:r w:rsidRPr="00A86C72">
          <w:rPr>
            <w:rFonts w:ascii="Arial" w:eastAsia="Times New Roman" w:hAnsi="Arial" w:cs="Arial"/>
            <w:color w:val="0563C1" w:themeColor="hyperlink"/>
            <w:sz w:val="16"/>
            <w:szCs w:val="16"/>
            <w:u w:val="single"/>
          </w:rPr>
          <w:t>URL</w:t>
        </w:r>
      </w:hyperlink>
    </w:p>
  </w:footnote>
  <w:footnote w:id="144">
    <w:p w14:paraId="2F52AB56" w14:textId="7FE27154" w:rsidR="00B208C1" w:rsidRPr="001343CF" w:rsidRDefault="00B208C1" w:rsidP="00045C74">
      <w:pPr>
        <w:pStyle w:val="FootnoteText"/>
        <w:tabs>
          <w:tab w:val="left" w:pos="357"/>
        </w:tabs>
        <w:spacing w:after="40"/>
        <w:ind w:left="357" w:hanging="357"/>
        <w:jc w:val="both"/>
        <w:rPr>
          <w:rFonts w:cs="Arial"/>
          <w:sz w:val="16"/>
          <w:szCs w:val="16"/>
        </w:rPr>
      </w:pPr>
      <w:r w:rsidRPr="004467EB">
        <w:rPr>
          <w:rStyle w:val="FootnoteReference"/>
          <w:rFonts w:cs="Arial"/>
          <w:sz w:val="18"/>
          <w:szCs w:val="18"/>
        </w:rPr>
        <w:footnoteRef/>
      </w:r>
      <w:r w:rsidRPr="001343CF">
        <w:rPr>
          <w:rFonts w:cs="Arial"/>
          <w:sz w:val="16"/>
          <w:szCs w:val="16"/>
        </w:rPr>
        <w:t xml:space="preserve"> </w:t>
      </w:r>
      <w:r>
        <w:rPr>
          <w:rFonts w:cs="Arial"/>
          <w:sz w:val="16"/>
          <w:szCs w:val="16"/>
        </w:rPr>
        <w:tab/>
      </w:r>
      <w:r w:rsidRPr="001343CF">
        <w:rPr>
          <w:rFonts w:cs="Arial"/>
          <w:sz w:val="16"/>
          <w:szCs w:val="16"/>
        </w:rPr>
        <w:t>Armour M, Hyman MS, Al-Dabbas M, Parry K, Ferfolja T, Curry C, et al.</w:t>
      </w:r>
      <w:r>
        <w:rPr>
          <w:rFonts w:cs="Arial"/>
          <w:sz w:val="16"/>
          <w:szCs w:val="16"/>
        </w:rPr>
        <w:t xml:space="preserve"> (2020)</w:t>
      </w:r>
      <w:r w:rsidRPr="001343CF">
        <w:rPr>
          <w:rFonts w:cs="Arial"/>
          <w:sz w:val="16"/>
          <w:szCs w:val="16"/>
        </w:rPr>
        <w:t xml:space="preserve"> </w:t>
      </w:r>
      <w:r w:rsidRPr="00266FE2">
        <w:rPr>
          <w:rFonts w:cs="Arial"/>
          <w:sz w:val="16"/>
          <w:szCs w:val="16"/>
        </w:rPr>
        <w:t>Menstrual health literacy and management strategies in young women in Australia: a national online survey of young women aged 13-25.</w:t>
      </w:r>
      <w:r w:rsidRPr="001343CF">
        <w:rPr>
          <w:rFonts w:cs="Arial"/>
          <w:sz w:val="16"/>
          <w:szCs w:val="16"/>
        </w:rPr>
        <w:t xml:space="preserve"> </w:t>
      </w:r>
      <w:r w:rsidRPr="001343CF">
        <w:rPr>
          <w:rFonts w:cs="Arial"/>
          <w:i/>
          <w:iCs/>
          <w:sz w:val="16"/>
          <w:szCs w:val="16"/>
        </w:rPr>
        <w:t>Journal of Pediatric and Adolescent Gynecology</w:t>
      </w:r>
      <w:r>
        <w:rPr>
          <w:rFonts w:cs="Arial"/>
          <w:i/>
          <w:iCs/>
          <w:sz w:val="16"/>
          <w:szCs w:val="16"/>
        </w:rPr>
        <w:t xml:space="preserve">. </w:t>
      </w:r>
      <w:r>
        <w:rPr>
          <w:rFonts w:cs="Arial"/>
          <w:sz w:val="16"/>
          <w:szCs w:val="16"/>
        </w:rPr>
        <w:t xml:space="preserve">Online in-press (Nov 11). Accessed: 24 November 2020. Available from: </w:t>
      </w:r>
      <w:hyperlink r:id="rId130" w:anchor="articleInformation" w:history="1">
        <w:r w:rsidRPr="00266FE2">
          <w:rPr>
            <w:rStyle w:val="Hyperlink"/>
            <w:rFonts w:cs="Arial"/>
            <w:sz w:val="16"/>
            <w:szCs w:val="16"/>
          </w:rPr>
          <w:t>URL</w:t>
        </w:r>
      </w:hyperlink>
    </w:p>
  </w:footnote>
  <w:footnote w:id="145">
    <w:p w14:paraId="26A7E132" w14:textId="205E64CB" w:rsidR="00B208C1" w:rsidRPr="001343CF" w:rsidRDefault="00B208C1" w:rsidP="00045C74">
      <w:pPr>
        <w:pStyle w:val="FootnoteText"/>
        <w:tabs>
          <w:tab w:val="left" w:pos="357"/>
        </w:tabs>
        <w:spacing w:after="40"/>
        <w:ind w:left="357" w:hanging="357"/>
        <w:jc w:val="both"/>
        <w:rPr>
          <w:rFonts w:cs="Arial"/>
          <w:sz w:val="16"/>
          <w:szCs w:val="16"/>
        </w:rPr>
      </w:pPr>
      <w:r w:rsidRPr="004467EB">
        <w:rPr>
          <w:rStyle w:val="FootnoteReference"/>
          <w:rFonts w:cs="Arial"/>
          <w:sz w:val="18"/>
          <w:szCs w:val="18"/>
        </w:rPr>
        <w:footnoteRef/>
      </w:r>
      <w:r w:rsidRPr="001343CF">
        <w:rPr>
          <w:rFonts w:cs="Arial"/>
          <w:sz w:val="16"/>
          <w:szCs w:val="16"/>
        </w:rPr>
        <w:t xml:space="preserve"> </w:t>
      </w:r>
      <w:r>
        <w:rPr>
          <w:rFonts w:cs="Arial"/>
          <w:sz w:val="16"/>
          <w:szCs w:val="16"/>
        </w:rPr>
        <w:tab/>
      </w:r>
      <w:r w:rsidRPr="001343CF">
        <w:rPr>
          <w:rFonts w:cs="Arial"/>
          <w:color w:val="333333"/>
          <w:sz w:val="16"/>
          <w:szCs w:val="16"/>
          <w:shd w:val="clear" w:color="auto" w:fill="FFFFFF"/>
        </w:rPr>
        <w:t>Li, A</w:t>
      </w:r>
      <w:r>
        <w:rPr>
          <w:rFonts w:cs="Arial"/>
          <w:color w:val="333333"/>
          <w:sz w:val="16"/>
          <w:szCs w:val="16"/>
          <w:shd w:val="clear" w:color="auto" w:fill="FFFFFF"/>
        </w:rPr>
        <w:t>D, Bellis EK, Girling JE, Jayasinghe YL, Grover SR, Marino JL,</w:t>
      </w:r>
      <w:r w:rsidRPr="001343CF">
        <w:rPr>
          <w:rFonts w:cs="Arial"/>
          <w:color w:val="333333"/>
          <w:sz w:val="16"/>
          <w:szCs w:val="16"/>
          <w:shd w:val="clear" w:color="auto" w:fill="FFFFFF"/>
        </w:rPr>
        <w:t xml:space="preserve"> et al (2019).</w:t>
      </w:r>
      <w:r w:rsidRPr="001343CF">
        <w:rPr>
          <w:rFonts w:cs="Arial"/>
          <w:sz w:val="16"/>
          <w:szCs w:val="16"/>
        </w:rPr>
        <w:t xml:space="preserve"> </w:t>
      </w:r>
      <w:r w:rsidRPr="00682348">
        <w:rPr>
          <w:rFonts w:cs="Arial"/>
          <w:sz w:val="16"/>
          <w:szCs w:val="16"/>
          <w:shd w:val="clear" w:color="auto" w:fill="FFFFFF"/>
        </w:rPr>
        <w:t xml:space="preserve">Unmet </w:t>
      </w:r>
      <w:r>
        <w:rPr>
          <w:rFonts w:cs="Arial"/>
          <w:sz w:val="16"/>
          <w:szCs w:val="16"/>
          <w:shd w:val="clear" w:color="auto" w:fill="FFFFFF"/>
        </w:rPr>
        <w:t>n</w:t>
      </w:r>
      <w:r w:rsidRPr="00682348">
        <w:rPr>
          <w:rFonts w:cs="Arial"/>
          <w:sz w:val="16"/>
          <w:szCs w:val="16"/>
          <w:shd w:val="clear" w:color="auto" w:fill="FFFFFF"/>
        </w:rPr>
        <w:t xml:space="preserve">eeds and </w:t>
      </w:r>
      <w:r>
        <w:rPr>
          <w:rFonts w:cs="Arial"/>
          <w:sz w:val="16"/>
          <w:szCs w:val="16"/>
          <w:shd w:val="clear" w:color="auto" w:fill="FFFFFF"/>
        </w:rPr>
        <w:t>e</w:t>
      </w:r>
      <w:r w:rsidRPr="00682348">
        <w:rPr>
          <w:rFonts w:cs="Arial"/>
          <w:sz w:val="16"/>
          <w:szCs w:val="16"/>
          <w:shd w:val="clear" w:color="auto" w:fill="FFFFFF"/>
        </w:rPr>
        <w:t xml:space="preserve">xperiences of </w:t>
      </w:r>
      <w:r>
        <w:rPr>
          <w:rFonts w:cs="Arial"/>
          <w:sz w:val="16"/>
          <w:szCs w:val="16"/>
          <w:shd w:val="clear" w:color="auto" w:fill="FFFFFF"/>
        </w:rPr>
        <w:t>a</w:t>
      </w:r>
      <w:r w:rsidRPr="00682348">
        <w:rPr>
          <w:rFonts w:cs="Arial"/>
          <w:sz w:val="16"/>
          <w:szCs w:val="16"/>
          <w:shd w:val="clear" w:color="auto" w:fill="FFFFFF"/>
        </w:rPr>
        <w:t xml:space="preserve">dolescent </w:t>
      </w:r>
      <w:r>
        <w:rPr>
          <w:rFonts w:cs="Arial"/>
          <w:sz w:val="16"/>
          <w:szCs w:val="16"/>
          <w:shd w:val="clear" w:color="auto" w:fill="FFFFFF"/>
        </w:rPr>
        <w:t>g</w:t>
      </w:r>
      <w:r w:rsidRPr="00682348">
        <w:rPr>
          <w:rFonts w:cs="Arial"/>
          <w:sz w:val="16"/>
          <w:szCs w:val="16"/>
          <w:shd w:val="clear" w:color="auto" w:fill="FFFFFF"/>
        </w:rPr>
        <w:t xml:space="preserve">irls with </w:t>
      </w:r>
      <w:r>
        <w:rPr>
          <w:rFonts w:cs="Arial"/>
          <w:sz w:val="16"/>
          <w:szCs w:val="16"/>
          <w:shd w:val="clear" w:color="auto" w:fill="FFFFFF"/>
        </w:rPr>
        <w:t>h</w:t>
      </w:r>
      <w:r w:rsidRPr="00682348">
        <w:rPr>
          <w:rFonts w:cs="Arial"/>
          <w:sz w:val="16"/>
          <w:szCs w:val="16"/>
          <w:shd w:val="clear" w:color="auto" w:fill="FFFFFF"/>
        </w:rPr>
        <w:t xml:space="preserve">eavy </w:t>
      </w:r>
      <w:r>
        <w:rPr>
          <w:rFonts w:cs="Arial"/>
          <w:sz w:val="16"/>
          <w:szCs w:val="16"/>
          <w:shd w:val="clear" w:color="auto" w:fill="FFFFFF"/>
        </w:rPr>
        <w:t>m</w:t>
      </w:r>
      <w:r w:rsidRPr="00682348">
        <w:rPr>
          <w:rFonts w:cs="Arial"/>
          <w:sz w:val="16"/>
          <w:szCs w:val="16"/>
          <w:shd w:val="clear" w:color="auto" w:fill="FFFFFF"/>
        </w:rPr>
        <w:t xml:space="preserve">enstrual </w:t>
      </w:r>
      <w:r>
        <w:rPr>
          <w:rFonts w:cs="Arial"/>
          <w:sz w:val="16"/>
          <w:szCs w:val="16"/>
          <w:shd w:val="clear" w:color="auto" w:fill="FFFFFF"/>
        </w:rPr>
        <w:t>b</w:t>
      </w:r>
      <w:r w:rsidRPr="00682348">
        <w:rPr>
          <w:rFonts w:cs="Arial"/>
          <w:sz w:val="16"/>
          <w:szCs w:val="16"/>
          <w:shd w:val="clear" w:color="auto" w:fill="FFFFFF"/>
        </w:rPr>
        <w:t xml:space="preserve">leeding and </w:t>
      </w:r>
      <w:r>
        <w:rPr>
          <w:rFonts w:cs="Arial"/>
          <w:sz w:val="16"/>
          <w:szCs w:val="16"/>
          <w:shd w:val="clear" w:color="auto" w:fill="FFFFFF"/>
        </w:rPr>
        <w:t>d</w:t>
      </w:r>
      <w:r w:rsidRPr="00682348">
        <w:rPr>
          <w:rFonts w:cs="Arial"/>
          <w:sz w:val="16"/>
          <w:szCs w:val="16"/>
          <w:shd w:val="clear" w:color="auto" w:fill="FFFFFF"/>
        </w:rPr>
        <w:t xml:space="preserve">ysmenorrhea: </w:t>
      </w:r>
      <w:r>
        <w:rPr>
          <w:rFonts w:cs="Arial"/>
          <w:sz w:val="16"/>
          <w:szCs w:val="16"/>
          <w:shd w:val="clear" w:color="auto" w:fill="FFFFFF"/>
        </w:rPr>
        <w:t>a</w:t>
      </w:r>
      <w:r w:rsidRPr="00682348">
        <w:rPr>
          <w:rFonts w:cs="Arial"/>
          <w:sz w:val="16"/>
          <w:szCs w:val="16"/>
          <w:shd w:val="clear" w:color="auto" w:fill="FFFFFF"/>
        </w:rPr>
        <w:t xml:space="preserve"> </w:t>
      </w:r>
      <w:r>
        <w:rPr>
          <w:rFonts w:cs="Arial"/>
          <w:sz w:val="16"/>
          <w:szCs w:val="16"/>
          <w:shd w:val="clear" w:color="auto" w:fill="FFFFFF"/>
        </w:rPr>
        <w:t>q</w:t>
      </w:r>
      <w:r w:rsidRPr="00682348">
        <w:rPr>
          <w:rFonts w:cs="Arial"/>
          <w:sz w:val="16"/>
          <w:szCs w:val="16"/>
          <w:shd w:val="clear" w:color="auto" w:fill="FFFFFF"/>
        </w:rPr>
        <w:t xml:space="preserve">ualitative </w:t>
      </w:r>
      <w:r>
        <w:rPr>
          <w:rFonts w:cs="Arial"/>
          <w:sz w:val="16"/>
          <w:szCs w:val="16"/>
          <w:shd w:val="clear" w:color="auto" w:fill="FFFFFF"/>
        </w:rPr>
        <w:t>s</w:t>
      </w:r>
      <w:r w:rsidRPr="00682348">
        <w:rPr>
          <w:rFonts w:cs="Arial"/>
          <w:sz w:val="16"/>
          <w:szCs w:val="16"/>
          <w:shd w:val="clear" w:color="auto" w:fill="FFFFFF"/>
        </w:rPr>
        <w:t>tudy</w:t>
      </w:r>
      <w:r>
        <w:rPr>
          <w:rFonts w:cs="Arial"/>
          <w:sz w:val="16"/>
          <w:szCs w:val="16"/>
          <w:shd w:val="clear" w:color="auto" w:fill="FFFFFF"/>
        </w:rPr>
        <w:t>.</w:t>
      </w:r>
      <w:r w:rsidRPr="00682348">
        <w:rPr>
          <w:rFonts w:cs="Arial"/>
          <w:sz w:val="16"/>
          <w:szCs w:val="16"/>
          <w:shd w:val="clear" w:color="auto" w:fill="FFFFFF"/>
        </w:rPr>
        <w:t xml:space="preserve"> </w:t>
      </w:r>
      <w:r w:rsidRPr="00682348">
        <w:rPr>
          <w:rFonts w:cs="Arial"/>
          <w:i/>
          <w:iCs/>
          <w:sz w:val="16"/>
          <w:szCs w:val="16"/>
          <w:shd w:val="clear" w:color="auto" w:fill="FFFFFF"/>
        </w:rPr>
        <w:t>Journal of Pediatric and Adolescent Gynecology</w:t>
      </w:r>
      <w:r>
        <w:rPr>
          <w:rStyle w:val="Hyperlink"/>
          <w:rFonts w:cs="Arial"/>
          <w:sz w:val="16"/>
          <w:szCs w:val="16"/>
          <w:shd w:val="clear" w:color="auto" w:fill="FFFFFF"/>
        </w:rPr>
        <w:t>.</w:t>
      </w:r>
      <w:r w:rsidRPr="001343CF">
        <w:rPr>
          <w:rFonts w:cs="Arial"/>
          <w:color w:val="333333"/>
          <w:sz w:val="16"/>
          <w:szCs w:val="16"/>
          <w:shd w:val="clear" w:color="auto" w:fill="FFFFFF"/>
        </w:rPr>
        <w:t xml:space="preserve"> 33</w:t>
      </w:r>
      <w:r>
        <w:rPr>
          <w:rFonts w:cs="Arial"/>
          <w:color w:val="333333"/>
          <w:sz w:val="16"/>
          <w:szCs w:val="16"/>
          <w:shd w:val="clear" w:color="auto" w:fill="FFFFFF"/>
        </w:rPr>
        <w:t>(3):</w:t>
      </w:r>
      <w:r w:rsidRPr="001343CF">
        <w:rPr>
          <w:rFonts w:cs="Arial"/>
          <w:color w:val="333333"/>
          <w:sz w:val="16"/>
          <w:szCs w:val="16"/>
          <w:shd w:val="clear" w:color="auto" w:fill="FFFFFF"/>
        </w:rPr>
        <w:t>278-284</w:t>
      </w:r>
    </w:p>
  </w:footnote>
  <w:footnote w:id="146">
    <w:p w14:paraId="1FF58768" w14:textId="0BF96038" w:rsidR="00B208C1" w:rsidRPr="001343CF" w:rsidRDefault="00B208C1" w:rsidP="00045C74">
      <w:pPr>
        <w:pStyle w:val="FootnoteText"/>
        <w:tabs>
          <w:tab w:val="left" w:pos="357"/>
        </w:tabs>
        <w:spacing w:after="40"/>
        <w:ind w:left="357" w:hanging="357"/>
        <w:jc w:val="both"/>
        <w:rPr>
          <w:rFonts w:cs="Arial"/>
          <w:sz w:val="16"/>
          <w:szCs w:val="16"/>
        </w:rPr>
      </w:pPr>
      <w:r w:rsidRPr="004467EB">
        <w:rPr>
          <w:rStyle w:val="FootnoteReference"/>
          <w:rFonts w:cs="Arial"/>
          <w:sz w:val="18"/>
          <w:szCs w:val="18"/>
        </w:rPr>
        <w:footnoteRef/>
      </w:r>
      <w:r w:rsidRPr="004467EB">
        <w:rPr>
          <w:rFonts w:cs="Arial"/>
          <w:sz w:val="18"/>
          <w:szCs w:val="18"/>
        </w:rPr>
        <w:t xml:space="preserve"> </w:t>
      </w:r>
      <w:r>
        <w:rPr>
          <w:rFonts w:cs="Arial"/>
          <w:sz w:val="16"/>
          <w:szCs w:val="16"/>
        </w:rPr>
        <w:tab/>
      </w:r>
      <w:r w:rsidRPr="001343CF">
        <w:rPr>
          <w:rFonts w:cs="Arial"/>
          <w:color w:val="212121"/>
          <w:sz w:val="16"/>
          <w:szCs w:val="16"/>
          <w:shd w:val="clear" w:color="auto" w:fill="FFFFFF"/>
        </w:rPr>
        <w:t>Bush D, Brick E, East MC, Johnson N</w:t>
      </w:r>
      <w:r>
        <w:rPr>
          <w:rFonts w:cs="Arial"/>
          <w:color w:val="212121"/>
          <w:sz w:val="16"/>
          <w:szCs w:val="16"/>
          <w:shd w:val="clear" w:color="auto" w:fill="FFFFFF"/>
        </w:rPr>
        <w:t xml:space="preserve"> (2017)</w:t>
      </w:r>
      <w:r w:rsidRPr="001343CF">
        <w:rPr>
          <w:rFonts w:cs="Arial"/>
          <w:color w:val="212121"/>
          <w:sz w:val="16"/>
          <w:szCs w:val="16"/>
          <w:shd w:val="clear" w:color="auto" w:fill="FFFFFF"/>
        </w:rPr>
        <w:t xml:space="preserve"> </w:t>
      </w:r>
      <w:r w:rsidRPr="00C96657">
        <w:rPr>
          <w:rFonts w:cs="Arial"/>
          <w:sz w:val="16"/>
          <w:szCs w:val="16"/>
          <w:shd w:val="clear" w:color="auto" w:fill="FFFFFF"/>
        </w:rPr>
        <w:t xml:space="preserve">Endometriosis education in schools: </w:t>
      </w:r>
      <w:proofErr w:type="gramStart"/>
      <w:r>
        <w:rPr>
          <w:rFonts w:cs="Arial"/>
          <w:sz w:val="16"/>
          <w:szCs w:val="16"/>
          <w:shd w:val="clear" w:color="auto" w:fill="FFFFFF"/>
        </w:rPr>
        <w:t>a</w:t>
      </w:r>
      <w:proofErr w:type="gramEnd"/>
      <w:r w:rsidRPr="00C96657">
        <w:rPr>
          <w:rFonts w:cs="Arial"/>
          <w:sz w:val="16"/>
          <w:szCs w:val="16"/>
          <w:shd w:val="clear" w:color="auto" w:fill="FFFFFF"/>
        </w:rPr>
        <w:t xml:space="preserve"> New Zealand model examining the impact of an education program in schools on early recognition of symptoms suggesting endometriosis</w:t>
      </w:r>
      <w:r w:rsidRPr="001343CF">
        <w:rPr>
          <w:rFonts w:cs="Arial"/>
          <w:color w:val="212121"/>
          <w:sz w:val="16"/>
          <w:szCs w:val="16"/>
          <w:shd w:val="clear" w:color="auto" w:fill="FFFFFF"/>
        </w:rPr>
        <w:t xml:space="preserve">. </w:t>
      </w:r>
      <w:r w:rsidRPr="00C96657">
        <w:rPr>
          <w:rFonts w:cs="Arial"/>
          <w:i/>
          <w:iCs/>
          <w:color w:val="212121"/>
          <w:sz w:val="16"/>
          <w:szCs w:val="16"/>
          <w:shd w:val="clear" w:color="auto" w:fill="FFFFFF"/>
        </w:rPr>
        <w:t>Australian and New Zealand Journal of Obstetrics and Gynaecology</w:t>
      </w:r>
      <w:r w:rsidRPr="001343CF">
        <w:rPr>
          <w:rFonts w:cs="Arial"/>
          <w:color w:val="212121"/>
          <w:sz w:val="16"/>
          <w:szCs w:val="16"/>
          <w:shd w:val="clear" w:color="auto" w:fill="FFFFFF"/>
        </w:rPr>
        <w:t xml:space="preserve">. </w:t>
      </w:r>
      <w:r w:rsidRPr="00C96657">
        <w:rPr>
          <w:rFonts w:cs="Arial"/>
          <w:sz w:val="16"/>
          <w:szCs w:val="16"/>
          <w:shd w:val="clear" w:color="auto" w:fill="FFFFFF"/>
        </w:rPr>
        <w:t>57(4):452-457</w:t>
      </w:r>
      <w:r>
        <w:rPr>
          <w:rFonts w:cs="Arial"/>
          <w:color w:val="212121"/>
          <w:sz w:val="16"/>
          <w:szCs w:val="16"/>
          <w:shd w:val="clear" w:color="auto" w:fill="FFFFFF"/>
        </w:rPr>
        <w:t xml:space="preserve">. Available from: </w:t>
      </w:r>
      <w:hyperlink r:id="rId131" w:history="1">
        <w:r w:rsidRPr="00C96657">
          <w:rPr>
            <w:rStyle w:val="Hyperlink"/>
            <w:rFonts w:cs="Arial"/>
            <w:sz w:val="16"/>
            <w:szCs w:val="16"/>
            <w:shd w:val="clear" w:color="auto" w:fill="FFFFFF"/>
          </w:rPr>
          <w:t>URL</w:t>
        </w:r>
      </w:hyperlink>
    </w:p>
  </w:footnote>
  <w:footnote w:id="147">
    <w:p w14:paraId="352F48EC" w14:textId="2309E484" w:rsidR="00B208C1" w:rsidRPr="001343CF" w:rsidRDefault="00B208C1" w:rsidP="00045C74">
      <w:pPr>
        <w:tabs>
          <w:tab w:val="left" w:pos="357"/>
        </w:tabs>
        <w:spacing w:after="40" w:line="240" w:lineRule="auto"/>
        <w:ind w:left="357" w:hanging="357"/>
        <w:jc w:val="both"/>
        <w:rPr>
          <w:rFonts w:ascii="Arial" w:eastAsia="Times New Roman" w:hAnsi="Arial" w:cs="Arial"/>
          <w:sz w:val="16"/>
          <w:szCs w:val="16"/>
        </w:rPr>
      </w:pPr>
      <w:r w:rsidRPr="004467EB">
        <w:rPr>
          <w:rStyle w:val="FootnoteReference"/>
          <w:rFonts w:ascii="Arial" w:hAnsi="Arial" w:cs="Arial"/>
          <w:sz w:val="18"/>
          <w:szCs w:val="18"/>
        </w:rPr>
        <w:footnoteRef/>
      </w:r>
      <w:r w:rsidRPr="001343CF">
        <w:rPr>
          <w:rFonts w:ascii="Arial" w:hAnsi="Arial" w:cs="Arial"/>
          <w:sz w:val="16"/>
          <w:szCs w:val="16"/>
        </w:rPr>
        <w:t xml:space="preserve"> </w:t>
      </w:r>
      <w:r>
        <w:rPr>
          <w:rFonts w:ascii="Arial" w:hAnsi="Arial" w:cs="Arial"/>
          <w:sz w:val="16"/>
          <w:szCs w:val="16"/>
        </w:rPr>
        <w:tab/>
      </w:r>
      <w:r w:rsidRPr="001343CF">
        <w:rPr>
          <w:rFonts w:ascii="Arial" w:eastAsia="Times New Roman" w:hAnsi="Arial" w:cs="Arial"/>
          <w:sz w:val="16"/>
          <w:szCs w:val="16"/>
        </w:rPr>
        <w:t>Fisher CM</w:t>
      </w:r>
      <w:r>
        <w:rPr>
          <w:rFonts w:ascii="Arial" w:eastAsia="Times New Roman" w:hAnsi="Arial" w:cs="Arial"/>
          <w:sz w:val="16"/>
          <w:szCs w:val="16"/>
        </w:rPr>
        <w:t xml:space="preserve">, </w:t>
      </w:r>
      <w:r w:rsidRPr="001343CF">
        <w:rPr>
          <w:rFonts w:ascii="Arial" w:eastAsia="Times New Roman" w:hAnsi="Arial" w:cs="Arial"/>
          <w:sz w:val="16"/>
          <w:szCs w:val="16"/>
        </w:rPr>
        <w:t>Kauer S</w:t>
      </w:r>
      <w:r>
        <w:rPr>
          <w:rFonts w:ascii="Arial" w:eastAsia="Times New Roman" w:hAnsi="Arial" w:cs="Arial"/>
          <w:sz w:val="16"/>
          <w:szCs w:val="16"/>
        </w:rPr>
        <w:t xml:space="preserve"> (</w:t>
      </w:r>
      <w:r w:rsidRPr="001343CF">
        <w:rPr>
          <w:rFonts w:ascii="Arial" w:eastAsia="Times New Roman" w:hAnsi="Arial" w:cs="Arial"/>
          <w:sz w:val="16"/>
          <w:szCs w:val="16"/>
        </w:rPr>
        <w:t>2019</w:t>
      </w:r>
      <w:r>
        <w:rPr>
          <w:rFonts w:ascii="Arial" w:eastAsia="Times New Roman" w:hAnsi="Arial" w:cs="Arial"/>
          <w:sz w:val="16"/>
          <w:szCs w:val="16"/>
        </w:rPr>
        <w:t>)</w:t>
      </w:r>
      <w:r w:rsidRPr="001343CF">
        <w:rPr>
          <w:rFonts w:ascii="Arial" w:eastAsia="Times New Roman" w:hAnsi="Arial" w:cs="Arial"/>
          <w:sz w:val="16"/>
          <w:szCs w:val="16"/>
        </w:rPr>
        <w:t xml:space="preserve"> </w:t>
      </w:r>
      <w:r w:rsidRPr="00133BCC">
        <w:rPr>
          <w:rFonts w:ascii="Arial" w:eastAsia="Times New Roman" w:hAnsi="Arial" w:cs="Arial"/>
          <w:sz w:val="16"/>
          <w:szCs w:val="16"/>
        </w:rPr>
        <w:t xml:space="preserve">National Survey of Australian Secondary Students and Sexual Health 1992–2018: </w:t>
      </w:r>
      <w:r>
        <w:rPr>
          <w:rFonts w:ascii="Arial" w:eastAsia="Times New Roman" w:hAnsi="Arial" w:cs="Arial"/>
          <w:sz w:val="16"/>
          <w:szCs w:val="16"/>
        </w:rPr>
        <w:t>t</w:t>
      </w:r>
      <w:r w:rsidRPr="00133BCC">
        <w:rPr>
          <w:rFonts w:ascii="Arial" w:eastAsia="Times New Roman" w:hAnsi="Arial" w:cs="Arial"/>
          <w:sz w:val="16"/>
          <w:szCs w:val="16"/>
        </w:rPr>
        <w:t xml:space="preserve">rends </w:t>
      </w:r>
      <w:r>
        <w:rPr>
          <w:rFonts w:ascii="Arial" w:eastAsia="Times New Roman" w:hAnsi="Arial" w:cs="Arial"/>
          <w:sz w:val="16"/>
          <w:szCs w:val="16"/>
        </w:rPr>
        <w:t>o</w:t>
      </w:r>
      <w:r w:rsidRPr="00133BCC">
        <w:rPr>
          <w:rFonts w:ascii="Arial" w:eastAsia="Times New Roman" w:hAnsi="Arial" w:cs="Arial"/>
          <w:sz w:val="16"/>
          <w:szCs w:val="16"/>
        </w:rPr>
        <w:t xml:space="preserve">ver </w:t>
      </w:r>
      <w:r>
        <w:rPr>
          <w:rFonts w:ascii="Arial" w:eastAsia="Times New Roman" w:hAnsi="Arial" w:cs="Arial"/>
          <w:sz w:val="16"/>
          <w:szCs w:val="16"/>
        </w:rPr>
        <w:t>t</w:t>
      </w:r>
      <w:r w:rsidRPr="00133BCC">
        <w:rPr>
          <w:rFonts w:ascii="Arial" w:eastAsia="Times New Roman" w:hAnsi="Arial" w:cs="Arial"/>
          <w:sz w:val="16"/>
          <w:szCs w:val="16"/>
        </w:rPr>
        <w:t>ime</w:t>
      </w:r>
      <w:r>
        <w:rPr>
          <w:rFonts w:ascii="Arial" w:eastAsia="Times New Roman" w:hAnsi="Arial" w:cs="Arial"/>
          <w:sz w:val="16"/>
          <w:szCs w:val="16"/>
        </w:rPr>
        <w:t xml:space="preserve">. LaTrobe University. </w:t>
      </w:r>
      <w:r w:rsidRPr="001343CF">
        <w:rPr>
          <w:rFonts w:ascii="Arial" w:eastAsia="Times New Roman" w:hAnsi="Arial" w:cs="Arial"/>
          <w:sz w:val="16"/>
          <w:szCs w:val="16"/>
        </w:rPr>
        <w:t xml:space="preserve">Australian Research Centre in Sex, Health </w:t>
      </w:r>
      <w:r>
        <w:rPr>
          <w:rFonts w:ascii="Arial" w:eastAsia="Times New Roman" w:hAnsi="Arial" w:cs="Arial"/>
          <w:sz w:val="16"/>
          <w:szCs w:val="16"/>
        </w:rPr>
        <w:t xml:space="preserve">and </w:t>
      </w:r>
      <w:r w:rsidRPr="001343CF">
        <w:rPr>
          <w:rFonts w:ascii="Arial" w:eastAsia="Times New Roman" w:hAnsi="Arial" w:cs="Arial"/>
          <w:sz w:val="16"/>
          <w:szCs w:val="16"/>
        </w:rPr>
        <w:t xml:space="preserve">Society, </w:t>
      </w:r>
      <w:r>
        <w:rPr>
          <w:rFonts w:ascii="Arial" w:eastAsia="Times New Roman" w:hAnsi="Arial" w:cs="Arial"/>
          <w:sz w:val="16"/>
          <w:szCs w:val="16"/>
        </w:rPr>
        <w:t>Bundoora, Vic.</w:t>
      </w:r>
      <w:r w:rsidRPr="001343CF">
        <w:rPr>
          <w:rFonts w:ascii="Arial" w:eastAsia="Times New Roman" w:hAnsi="Arial" w:cs="Arial"/>
          <w:sz w:val="16"/>
          <w:szCs w:val="16"/>
        </w:rPr>
        <w:t xml:space="preserve"> </w:t>
      </w:r>
      <w:r>
        <w:rPr>
          <w:rFonts w:ascii="Arial" w:eastAsia="Times New Roman" w:hAnsi="Arial" w:cs="Arial"/>
          <w:sz w:val="16"/>
          <w:szCs w:val="16"/>
        </w:rPr>
        <w:t xml:space="preserve">- </w:t>
      </w:r>
      <w:r w:rsidRPr="001343CF">
        <w:rPr>
          <w:rFonts w:ascii="Arial" w:eastAsia="Times New Roman" w:hAnsi="Arial" w:cs="Arial"/>
          <w:sz w:val="16"/>
          <w:szCs w:val="16"/>
        </w:rPr>
        <w:t>(</w:t>
      </w:r>
      <w:r w:rsidRPr="00133BCC">
        <w:rPr>
          <w:rFonts w:ascii="Arial" w:eastAsia="Times New Roman" w:hAnsi="Arial" w:cs="Arial"/>
          <w:i/>
          <w:iCs/>
          <w:sz w:val="16"/>
          <w:szCs w:val="16"/>
        </w:rPr>
        <w:t>ARCSHS Monograph Series</w:t>
      </w:r>
      <w:r>
        <w:rPr>
          <w:rFonts w:ascii="Arial" w:eastAsia="Times New Roman" w:hAnsi="Arial" w:cs="Arial"/>
          <w:sz w:val="16"/>
          <w:szCs w:val="16"/>
        </w:rPr>
        <w:t>;</w:t>
      </w:r>
      <w:r w:rsidRPr="001343CF">
        <w:rPr>
          <w:rFonts w:ascii="Arial" w:eastAsia="Times New Roman" w:hAnsi="Arial" w:cs="Arial"/>
          <w:sz w:val="16"/>
          <w:szCs w:val="16"/>
        </w:rPr>
        <w:t xml:space="preserve"> </w:t>
      </w:r>
      <w:r>
        <w:rPr>
          <w:rFonts w:ascii="Arial" w:eastAsia="Times New Roman" w:hAnsi="Arial" w:cs="Arial"/>
          <w:sz w:val="16"/>
          <w:szCs w:val="16"/>
        </w:rPr>
        <w:t>n</w:t>
      </w:r>
      <w:r w:rsidRPr="001343CF">
        <w:rPr>
          <w:rFonts w:ascii="Arial" w:eastAsia="Times New Roman" w:hAnsi="Arial" w:cs="Arial"/>
          <w:sz w:val="16"/>
          <w:szCs w:val="16"/>
        </w:rPr>
        <w:t>o. 118)</w:t>
      </w:r>
      <w:r>
        <w:rPr>
          <w:rFonts w:ascii="Arial" w:eastAsia="Times New Roman" w:hAnsi="Arial" w:cs="Arial"/>
          <w:sz w:val="16"/>
          <w:szCs w:val="16"/>
        </w:rPr>
        <w:t>.</w:t>
      </w:r>
      <w:r w:rsidRPr="001343CF">
        <w:rPr>
          <w:rFonts w:ascii="Arial" w:eastAsia="Times New Roman" w:hAnsi="Arial" w:cs="Arial"/>
          <w:sz w:val="16"/>
          <w:szCs w:val="16"/>
        </w:rPr>
        <w:t xml:space="preserve"> Available</w:t>
      </w:r>
      <w:r>
        <w:rPr>
          <w:rFonts w:ascii="Arial" w:eastAsia="Times New Roman" w:hAnsi="Arial" w:cs="Arial"/>
          <w:sz w:val="16"/>
          <w:szCs w:val="16"/>
        </w:rPr>
        <w:t xml:space="preserve"> from:</w:t>
      </w:r>
      <w:r w:rsidRPr="001343CF">
        <w:rPr>
          <w:rFonts w:ascii="Arial" w:eastAsia="Times New Roman" w:hAnsi="Arial" w:cs="Arial"/>
          <w:sz w:val="16"/>
          <w:szCs w:val="16"/>
        </w:rPr>
        <w:t xml:space="preserve"> </w:t>
      </w:r>
      <w:hyperlink r:id="rId132" w:history="1">
        <w:r>
          <w:rPr>
            <w:rFonts w:ascii="Arial" w:eastAsia="Times New Roman" w:hAnsi="Arial" w:cs="Arial"/>
            <w:color w:val="0563C1" w:themeColor="hyperlink"/>
            <w:sz w:val="16"/>
            <w:szCs w:val="16"/>
            <w:u w:val="single"/>
          </w:rPr>
          <w:t>URL</w:t>
        </w:r>
      </w:hyperlink>
    </w:p>
  </w:footnote>
  <w:footnote w:id="148">
    <w:p w14:paraId="769CFE0C" w14:textId="0642AC1A" w:rsidR="00B208C1" w:rsidRPr="001343CF" w:rsidRDefault="00B208C1" w:rsidP="00045C74">
      <w:pPr>
        <w:tabs>
          <w:tab w:val="left" w:pos="357"/>
        </w:tabs>
        <w:spacing w:after="40" w:line="240" w:lineRule="auto"/>
        <w:ind w:left="357" w:hanging="357"/>
        <w:jc w:val="both"/>
        <w:rPr>
          <w:rFonts w:ascii="Arial" w:eastAsia="Times New Roman" w:hAnsi="Arial" w:cs="Arial"/>
          <w:sz w:val="16"/>
          <w:szCs w:val="16"/>
        </w:rPr>
      </w:pPr>
      <w:r w:rsidRPr="004467EB">
        <w:rPr>
          <w:rStyle w:val="FootnoteReference"/>
          <w:rFonts w:ascii="Arial" w:hAnsi="Arial" w:cs="Arial"/>
          <w:sz w:val="18"/>
          <w:szCs w:val="18"/>
        </w:rPr>
        <w:footnoteRef/>
      </w:r>
      <w:r w:rsidRPr="001343CF">
        <w:rPr>
          <w:rFonts w:ascii="Arial" w:hAnsi="Arial" w:cs="Arial"/>
          <w:sz w:val="16"/>
          <w:szCs w:val="16"/>
        </w:rPr>
        <w:t xml:space="preserve"> </w:t>
      </w:r>
      <w:r>
        <w:rPr>
          <w:rFonts w:ascii="Arial" w:hAnsi="Arial" w:cs="Arial"/>
          <w:sz w:val="16"/>
          <w:szCs w:val="16"/>
        </w:rPr>
        <w:tab/>
      </w:r>
      <w:r w:rsidRPr="001343CF">
        <w:rPr>
          <w:rFonts w:ascii="Arial" w:eastAsia="Times New Roman" w:hAnsi="Arial" w:cs="Arial"/>
          <w:sz w:val="16"/>
          <w:szCs w:val="16"/>
        </w:rPr>
        <w:t>Women’s Health Victoria (2020) Delivering optimal sexual and reproductive health outcomes for Victorian women: priorities for the next women’s sexual and reproductive health plan 2021-2025</w:t>
      </w:r>
      <w:r w:rsidRPr="001343CF">
        <w:rPr>
          <w:rFonts w:ascii="Arial" w:eastAsia="Times New Roman" w:hAnsi="Arial" w:cs="Arial"/>
          <w:i/>
          <w:iCs/>
          <w:sz w:val="16"/>
          <w:szCs w:val="16"/>
        </w:rPr>
        <w:t>.</w:t>
      </w:r>
      <w:r w:rsidRPr="001343CF">
        <w:rPr>
          <w:rFonts w:ascii="Arial" w:eastAsia="Times New Roman" w:hAnsi="Arial" w:cs="Arial"/>
          <w:sz w:val="16"/>
          <w:szCs w:val="16"/>
        </w:rPr>
        <w:t xml:space="preserve"> Women’s Health Victoria, Melbourne.</w:t>
      </w:r>
    </w:p>
  </w:footnote>
  <w:footnote w:id="149">
    <w:p w14:paraId="4BD8059D" w14:textId="3292EFDB" w:rsidR="00B208C1" w:rsidRPr="001343CF" w:rsidRDefault="00B208C1" w:rsidP="00045C74">
      <w:pPr>
        <w:tabs>
          <w:tab w:val="left" w:pos="357"/>
        </w:tabs>
        <w:spacing w:after="40" w:line="240" w:lineRule="auto"/>
        <w:ind w:left="357" w:hanging="357"/>
        <w:jc w:val="both"/>
        <w:rPr>
          <w:rFonts w:ascii="Arial" w:hAnsi="Arial" w:cs="Arial"/>
          <w:color w:val="000000"/>
          <w:sz w:val="16"/>
          <w:szCs w:val="16"/>
        </w:rPr>
      </w:pPr>
      <w:r w:rsidRPr="004467EB">
        <w:rPr>
          <w:rStyle w:val="FootnoteReference"/>
          <w:rFonts w:ascii="Arial" w:hAnsi="Arial" w:cs="Arial"/>
          <w:sz w:val="18"/>
          <w:szCs w:val="18"/>
        </w:rPr>
        <w:footnoteRef/>
      </w:r>
      <w:r w:rsidRPr="001343CF">
        <w:rPr>
          <w:rFonts w:ascii="Arial" w:hAnsi="Arial" w:cs="Arial"/>
          <w:sz w:val="16"/>
          <w:szCs w:val="16"/>
        </w:rPr>
        <w:t xml:space="preserve"> </w:t>
      </w:r>
      <w:r>
        <w:rPr>
          <w:rFonts w:ascii="Arial" w:hAnsi="Arial" w:cs="Arial"/>
          <w:sz w:val="16"/>
          <w:szCs w:val="16"/>
        </w:rPr>
        <w:tab/>
      </w:r>
      <w:r w:rsidRPr="001343CF">
        <w:rPr>
          <w:rFonts w:ascii="Arial" w:hAnsi="Arial" w:cs="Arial"/>
          <w:color w:val="000000"/>
          <w:sz w:val="16"/>
          <w:szCs w:val="16"/>
        </w:rPr>
        <w:t>Keogh</w:t>
      </w:r>
      <w:r>
        <w:rPr>
          <w:rFonts w:ascii="Arial" w:hAnsi="Arial" w:cs="Arial"/>
          <w:color w:val="000000"/>
          <w:sz w:val="16"/>
          <w:szCs w:val="16"/>
        </w:rPr>
        <w:t xml:space="preserve"> L</w:t>
      </w:r>
      <w:r w:rsidRPr="001343CF">
        <w:rPr>
          <w:rFonts w:ascii="Arial" w:hAnsi="Arial" w:cs="Arial"/>
          <w:color w:val="000000"/>
          <w:sz w:val="16"/>
          <w:szCs w:val="16"/>
        </w:rPr>
        <w:t>, Haining</w:t>
      </w:r>
      <w:r>
        <w:rPr>
          <w:rFonts w:ascii="Arial" w:hAnsi="Arial" w:cs="Arial"/>
          <w:color w:val="000000"/>
          <w:sz w:val="16"/>
          <w:szCs w:val="16"/>
        </w:rPr>
        <w:t xml:space="preserve"> C</w:t>
      </w:r>
      <w:r w:rsidRPr="001343CF">
        <w:rPr>
          <w:rFonts w:ascii="Arial" w:hAnsi="Arial" w:cs="Arial"/>
          <w:color w:val="000000"/>
          <w:sz w:val="16"/>
          <w:szCs w:val="16"/>
        </w:rPr>
        <w:t>, Dam</w:t>
      </w:r>
      <w:r>
        <w:rPr>
          <w:rFonts w:ascii="Arial" w:hAnsi="Arial" w:cs="Arial"/>
          <w:color w:val="000000"/>
          <w:sz w:val="16"/>
          <w:szCs w:val="16"/>
        </w:rPr>
        <w:t xml:space="preserve"> M</w:t>
      </w:r>
      <w:r w:rsidRPr="001343CF">
        <w:rPr>
          <w:rFonts w:ascii="Arial" w:hAnsi="Arial" w:cs="Arial"/>
          <w:color w:val="000000"/>
          <w:sz w:val="16"/>
          <w:szCs w:val="16"/>
        </w:rPr>
        <w:t>, Hendron</w:t>
      </w:r>
      <w:r>
        <w:rPr>
          <w:rFonts w:ascii="Arial" w:hAnsi="Arial" w:cs="Arial"/>
          <w:color w:val="000000"/>
          <w:sz w:val="16"/>
          <w:szCs w:val="16"/>
        </w:rPr>
        <w:t xml:space="preserve"> M (</w:t>
      </w:r>
      <w:r w:rsidRPr="001343CF">
        <w:rPr>
          <w:rFonts w:ascii="Arial" w:hAnsi="Arial" w:cs="Arial"/>
          <w:color w:val="000000"/>
          <w:sz w:val="16"/>
          <w:szCs w:val="16"/>
        </w:rPr>
        <w:t>2020</w:t>
      </w:r>
      <w:r>
        <w:rPr>
          <w:rFonts w:ascii="Arial" w:hAnsi="Arial" w:cs="Arial"/>
          <w:color w:val="000000"/>
          <w:sz w:val="16"/>
          <w:szCs w:val="16"/>
        </w:rPr>
        <w:t xml:space="preserve">) </w:t>
      </w:r>
      <w:r w:rsidRPr="00912B60">
        <w:rPr>
          <w:rFonts w:ascii="Arial" w:hAnsi="Arial" w:cs="Arial"/>
          <w:color w:val="000000"/>
          <w:sz w:val="16"/>
          <w:szCs w:val="16"/>
        </w:rPr>
        <w:t xml:space="preserve">Increasing </w:t>
      </w:r>
      <w:r>
        <w:rPr>
          <w:rFonts w:ascii="Arial" w:hAnsi="Arial" w:cs="Arial"/>
          <w:color w:val="000000"/>
          <w:sz w:val="16"/>
          <w:szCs w:val="16"/>
        </w:rPr>
        <w:t>r</w:t>
      </w:r>
      <w:r w:rsidRPr="00912B60">
        <w:rPr>
          <w:rFonts w:ascii="Arial" w:hAnsi="Arial" w:cs="Arial"/>
          <w:color w:val="000000"/>
          <w:sz w:val="16"/>
          <w:szCs w:val="16"/>
        </w:rPr>
        <w:t xml:space="preserve">eproductive </w:t>
      </w:r>
      <w:r>
        <w:rPr>
          <w:rFonts w:ascii="Arial" w:hAnsi="Arial" w:cs="Arial"/>
          <w:color w:val="000000"/>
          <w:sz w:val="16"/>
          <w:szCs w:val="16"/>
        </w:rPr>
        <w:t>c</w:t>
      </w:r>
      <w:r w:rsidRPr="00912B60">
        <w:rPr>
          <w:rFonts w:ascii="Arial" w:hAnsi="Arial" w:cs="Arial"/>
          <w:color w:val="000000"/>
          <w:sz w:val="16"/>
          <w:szCs w:val="16"/>
        </w:rPr>
        <w:t>hoices in the Grampians and Pyrenees and Wimmera Regions</w:t>
      </w:r>
      <w:r>
        <w:rPr>
          <w:rFonts w:ascii="Arial" w:hAnsi="Arial" w:cs="Arial"/>
          <w:color w:val="000000"/>
          <w:sz w:val="16"/>
          <w:szCs w:val="16"/>
        </w:rPr>
        <w:t xml:space="preserve">. University of Melbourne. </w:t>
      </w:r>
      <w:r w:rsidRPr="001343CF">
        <w:rPr>
          <w:rFonts w:ascii="Arial" w:hAnsi="Arial" w:cs="Arial"/>
          <w:color w:val="000000"/>
          <w:sz w:val="16"/>
          <w:szCs w:val="16"/>
        </w:rPr>
        <w:t>Centre for Health Equity</w:t>
      </w:r>
      <w:r>
        <w:rPr>
          <w:rFonts w:ascii="Arial" w:hAnsi="Arial" w:cs="Arial"/>
          <w:color w:val="000000"/>
          <w:sz w:val="16"/>
          <w:szCs w:val="16"/>
        </w:rPr>
        <w:t xml:space="preserve">; </w:t>
      </w:r>
      <w:r w:rsidRPr="001343CF">
        <w:rPr>
          <w:rFonts w:ascii="Arial" w:hAnsi="Arial" w:cs="Arial"/>
          <w:color w:val="000000"/>
          <w:sz w:val="16"/>
          <w:szCs w:val="16"/>
        </w:rPr>
        <w:t>Women’s Health Grampians</w:t>
      </w:r>
      <w:r>
        <w:rPr>
          <w:rFonts w:ascii="Arial" w:hAnsi="Arial" w:cs="Arial"/>
          <w:color w:val="000000"/>
          <w:sz w:val="16"/>
          <w:szCs w:val="16"/>
        </w:rPr>
        <w:t>,</w:t>
      </w:r>
      <w:r w:rsidRPr="001343CF">
        <w:rPr>
          <w:rFonts w:ascii="Arial" w:hAnsi="Arial" w:cs="Arial"/>
          <w:color w:val="000000"/>
          <w:sz w:val="16"/>
          <w:szCs w:val="16"/>
        </w:rPr>
        <w:t xml:space="preserve"> Melbourne. Available</w:t>
      </w:r>
      <w:r>
        <w:rPr>
          <w:rFonts w:ascii="Arial" w:hAnsi="Arial" w:cs="Arial"/>
          <w:color w:val="000000"/>
          <w:sz w:val="16"/>
          <w:szCs w:val="16"/>
        </w:rPr>
        <w:t xml:space="preserve"> from:</w:t>
      </w:r>
      <w:r w:rsidRPr="001343CF">
        <w:rPr>
          <w:rFonts w:ascii="Arial" w:hAnsi="Arial" w:cs="Arial"/>
          <w:color w:val="000000"/>
          <w:sz w:val="16"/>
          <w:szCs w:val="16"/>
        </w:rPr>
        <w:t xml:space="preserve"> </w:t>
      </w:r>
      <w:hyperlink r:id="rId133" w:history="1">
        <w:r>
          <w:rPr>
            <w:rFonts w:ascii="Arial" w:hAnsi="Arial" w:cs="Arial"/>
            <w:color w:val="0563C1" w:themeColor="hyperlink"/>
            <w:sz w:val="16"/>
            <w:szCs w:val="16"/>
            <w:u w:val="single"/>
          </w:rPr>
          <w:t>URL</w:t>
        </w:r>
      </w:hyperlink>
    </w:p>
  </w:footnote>
  <w:footnote w:id="150">
    <w:p w14:paraId="478A0503" w14:textId="5D86FA21" w:rsidR="00B208C1" w:rsidRPr="001343CF" w:rsidRDefault="00B208C1" w:rsidP="00045C74">
      <w:pPr>
        <w:tabs>
          <w:tab w:val="left" w:pos="357"/>
        </w:tabs>
        <w:spacing w:after="40" w:line="240" w:lineRule="auto"/>
        <w:ind w:left="357" w:hanging="357"/>
        <w:jc w:val="both"/>
        <w:rPr>
          <w:rFonts w:ascii="Arial" w:eastAsia="Times New Roman" w:hAnsi="Arial" w:cs="Arial"/>
          <w:color w:val="0563C1" w:themeColor="hyperlink"/>
          <w:sz w:val="16"/>
          <w:szCs w:val="16"/>
          <w:u w:val="single"/>
        </w:rPr>
      </w:pPr>
      <w:r w:rsidRPr="004467EB">
        <w:rPr>
          <w:rStyle w:val="FootnoteReference"/>
          <w:rFonts w:ascii="Arial" w:hAnsi="Arial" w:cs="Arial"/>
          <w:sz w:val="18"/>
          <w:szCs w:val="18"/>
        </w:rPr>
        <w:footnoteRef/>
      </w:r>
      <w:r w:rsidRPr="001343CF">
        <w:rPr>
          <w:rFonts w:ascii="Arial" w:hAnsi="Arial" w:cs="Arial"/>
          <w:sz w:val="16"/>
          <w:szCs w:val="16"/>
        </w:rPr>
        <w:t xml:space="preserve"> </w:t>
      </w:r>
      <w:r>
        <w:rPr>
          <w:rFonts w:ascii="Arial" w:hAnsi="Arial" w:cs="Arial"/>
          <w:sz w:val="16"/>
          <w:szCs w:val="16"/>
        </w:rPr>
        <w:tab/>
      </w:r>
      <w:r w:rsidRPr="001343CF">
        <w:rPr>
          <w:rFonts w:ascii="Arial" w:eastAsia="Times New Roman" w:hAnsi="Arial" w:cs="Arial"/>
          <w:sz w:val="16"/>
          <w:szCs w:val="16"/>
        </w:rPr>
        <w:t>Waling A, Fraser S, Fisher, C (2020) Young people and sources of sexual health information. LaTrobe University. Australian Research Centre in Sex, Health and Society, Bundoora, Vic., p.16. - (</w:t>
      </w:r>
      <w:r w:rsidRPr="001343CF">
        <w:rPr>
          <w:rFonts w:ascii="Arial" w:eastAsia="Times New Roman" w:hAnsi="Arial" w:cs="Arial"/>
          <w:i/>
          <w:iCs/>
          <w:sz w:val="16"/>
          <w:szCs w:val="16"/>
        </w:rPr>
        <w:t>ARCSHS Monograph Series;</w:t>
      </w:r>
      <w:r w:rsidRPr="001343CF">
        <w:rPr>
          <w:rFonts w:ascii="Arial" w:eastAsia="Times New Roman" w:hAnsi="Arial" w:cs="Arial"/>
          <w:sz w:val="16"/>
          <w:szCs w:val="16"/>
        </w:rPr>
        <w:t xml:space="preserve"> no. 121). Available from: </w:t>
      </w:r>
      <w:hyperlink r:id="rId134" w:history="1">
        <w:r w:rsidRPr="001343CF">
          <w:rPr>
            <w:rFonts w:ascii="Arial" w:eastAsia="Times New Roman" w:hAnsi="Arial" w:cs="Arial"/>
            <w:color w:val="0563C1" w:themeColor="hyperlink"/>
            <w:sz w:val="16"/>
            <w:szCs w:val="16"/>
            <w:u w:val="single"/>
          </w:rPr>
          <w:t>URL</w:t>
        </w:r>
      </w:hyperlink>
    </w:p>
  </w:footnote>
  <w:footnote w:id="151">
    <w:p w14:paraId="6E87F748" w14:textId="206C1994" w:rsidR="00B208C1" w:rsidRPr="00E624E6" w:rsidRDefault="00B208C1" w:rsidP="00045C74">
      <w:pPr>
        <w:tabs>
          <w:tab w:val="left" w:pos="357"/>
        </w:tabs>
        <w:spacing w:after="40" w:line="240" w:lineRule="auto"/>
        <w:ind w:left="357" w:hanging="357"/>
        <w:jc w:val="both"/>
        <w:rPr>
          <w:rFonts w:ascii="Arial" w:eastAsia="Times New Roman" w:hAnsi="Arial" w:cs="Arial"/>
          <w:sz w:val="16"/>
          <w:szCs w:val="16"/>
          <w:u w:val="single"/>
        </w:rPr>
      </w:pPr>
      <w:r w:rsidRPr="00B81CCE">
        <w:rPr>
          <w:rStyle w:val="FootnoteReference"/>
          <w:rFonts w:ascii="Arial" w:hAnsi="Arial" w:cs="Arial"/>
          <w:sz w:val="18"/>
          <w:szCs w:val="18"/>
        </w:rPr>
        <w:footnoteRef/>
      </w:r>
      <w:r w:rsidRPr="00B81CCE">
        <w:rPr>
          <w:rFonts w:ascii="Arial" w:hAnsi="Arial" w:cs="Arial"/>
          <w:sz w:val="18"/>
          <w:szCs w:val="18"/>
        </w:rPr>
        <w:t xml:space="preserve"> </w:t>
      </w:r>
      <w:r>
        <w:rPr>
          <w:rFonts w:ascii="Arial" w:hAnsi="Arial" w:cs="Arial"/>
          <w:sz w:val="16"/>
          <w:szCs w:val="16"/>
        </w:rPr>
        <w:tab/>
      </w:r>
      <w:r>
        <w:rPr>
          <w:rFonts w:ascii="Arial" w:eastAsia="Times New Roman" w:hAnsi="Arial" w:cs="Arial"/>
          <w:sz w:val="16"/>
          <w:szCs w:val="16"/>
        </w:rPr>
        <w:t xml:space="preserve">ibid. </w:t>
      </w:r>
      <w:r w:rsidRPr="00E624E6">
        <w:rPr>
          <w:rFonts w:ascii="Arial" w:eastAsia="Times New Roman" w:hAnsi="Arial" w:cs="Arial"/>
          <w:sz w:val="16"/>
          <w:szCs w:val="16"/>
        </w:rPr>
        <w:t xml:space="preserve">Available from: </w:t>
      </w:r>
      <w:hyperlink r:id="rId135" w:history="1">
        <w:r w:rsidRPr="00E624E6">
          <w:rPr>
            <w:rFonts w:ascii="Arial" w:eastAsia="Times New Roman" w:hAnsi="Arial" w:cs="Arial"/>
            <w:color w:val="0563C1" w:themeColor="hyperlink"/>
            <w:sz w:val="16"/>
            <w:szCs w:val="16"/>
            <w:u w:val="single"/>
          </w:rPr>
          <w:t>URL</w:t>
        </w:r>
      </w:hyperlink>
    </w:p>
  </w:footnote>
  <w:footnote w:id="152">
    <w:p w14:paraId="40E23164" w14:textId="3B01854A" w:rsidR="00B208C1" w:rsidRPr="00E624E6" w:rsidRDefault="00B208C1" w:rsidP="00045C74">
      <w:pPr>
        <w:tabs>
          <w:tab w:val="left" w:pos="357"/>
        </w:tabs>
        <w:spacing w:after="40" w:line="240" w:lineRule="auto"/>
        <w:ind w:left="357" w:hanging="357"/>
        <w:jc w:val="both"/>
        <w:rPr>
          <w:rFonts w:ascii="Arial" w:eastAsia="Times New Roman" w:hAnsi="Arial" w:cs="Arial"/>
          <w:sz w:val="16"/>
          <w:szCs w:val="16"/>
          <w:u w:val="single"/>
        </w:rPr>
      </w:pPr>
      <w:r w:rsidRPr="00B81CCE">
        <w:rPr>
          <w:rStyle w:val="FootnoteReference"/>
          <w:rFonts w:ascii="Arial" w:hAnsi="Arial" w:cs="Arial"/>
          <w:sz w:val="18"/>
          <w:szCs w:val="18"/>
        </w:rPr>
        <w:footnoteRef/>
      </w:r>
      <w:r w:rsidRPr="00E624E6">
        <w:rPr>
          <w:rFonts w:ascii="Arial" w:hAnsi="Arial" w:cs="Arial"/>
          <w:sz w:val="16"/>
          <w:szCs w:val="16"/>
        </w:rPr>
        <w:t xml:space="preserve"> </w:t>
      </w:r>
      <w:r>
        <w:rPr>
          <w:rFonts w:ascii="Arial" w:hAnsi="Arial" w:cs="Arial"/>
          <w:sz w:val="16"/>
          <w:szCs w:val="16"/>
        </w:rPr>
        <w:tab/>
        <w:t xml:space="preserve">ibid. </w:t>
      </w:r>
      <w:r w:rsidRPr="00E624E6">
        <w:rPr>
          <w:rFonts w:ascii="Arial" w:eastAsia="Times New Roman" w:hAnsi="Arial" w:cs="Arial"/>
          <w:sz w:val="16"/>
          <w:szCs w:val="16"/>
        </w:rPr>
        <w:t xml:space="preserve">Available from: </w:t>
      </w:r>
      <w:hyperlink r:id="rId136" w:history="1">
        <w:r w:rsidRPr="00E624E6">
          <w:rPr>
            <w:rFonts w:ascii="Arial" w:eastAsia="Times New Roman" w:hAnsi="Arial" w:cs="Arial"/>
            <w:color w:val="0563C1" w:themeColor="hyperlink"/>
            <w:sz w:val="16"/>
            <w:szCs w:val="16"/>
            <w:u w:val="single"/>
          </w:rPr>
          <w:t>URL</w:t>
        </w:r>
      </w:hyperlink>
    </w:p>
  </w:footnote>
  <w:footnote w:id="153">
    <w:p w14:paraId="0532A014" w14:textId="2A51473D" w:rsidR="00B208C1" w:rsidRPr="00E624E6" w:rsidRDefault="00B208C1" w:rsidP="00045C74">
      <w:pPr>
        <w:tabs>
          <w:tab w:val="left" w:pos="357"/>
        </w:tabs>
        <w:spacing w:after="40" w:line="240" w:lineRule="auto"/>
        <w:ind w:left="357" w:hanging="357"/>
        <w:jc w:val="both"/>
        <w:rPr>
          <w:rFonts w:ascii="Arial" w:eastAsia="Times New Roman" w:hAnsi="Arial" w:cs="Arial"/>
          <w:sz w:val="16"/>
          <w:szCs w:val="16"/>
          <w:u w:val="single"/>
        </w:rPr>
      </w:pPr>
      <w:r w:rsidRPr="00B81CCE">
        <w:rPr>
          <w:rStyle w:val="FootnoteReference"/>
          <w:rFonts w:ascii="Arial" w:hAnsi="Arial" w:cs="Arial"/>
          <w:sz w:val="18"/>
          <w:szCs w:val="18"/>
        </w:rPr>
        <w:footnoteRef/>
      </w:r>
      <w:r w:rsidRPr="00E624E6">
        <w:rPr>
          <w:rFonts w:ascii="Arial" w:hAnsi="Arial" w:cs="Arial"/>
          <w:sz w:val="16"/>
          <w:szCs w:val="16"/>
        </w:rPr>
        <w:t xml:space="preserve"> </w:t>
      </w:r>
      <w:r>
        <w:rPr>
          <w:rFonts w:ascii="Arial" w:hAnsi="Arial" w:cs="Arial"/>
          <w:sz w:val="16"/>
          <w:szCs w:val="16"/>
        </w:rPr>
        <w:tab/>
        <w:t>ibid.</w:t>
      </w:r>
      <w:r w:rsidRPr="00E624E6">
        <w:rPr>
          <w:rFonts w:ascii="Arial" w:eastAsia="Times New Roman" w:hAnsi="Arial" w:cs="Arial"/>
          <w:sz w:val="16"/>
          <w:szCs w:val="16"/>
        </w:rPr>
        <w:t xml:space="preserve">, p.16. Available from: </w:t>
      </w:r>
      <w:hyperlink r:id="rId137" w:history="1">
        <w:r w:rsidRPr="00E624E6">
          <w:rPr>
            <w:rFonts w:ascii="Arial" w:eastAsia="Times New Roman" w:hAnsi="Arial" w:cs="Arial"/>
            <w:color w:val="0563C1" w:themeColor="hyperlink"/>
            <w:sz w:val="16"/>
            <w:szCs w:val="16"/>
            <w:u w:val="single"/>
          </w:rPr>
          <w:t>URL</w:t>
        </w:r>
      </w:hyperlink>
    </w:p>
  </w:footnote>
  <w:footnote w:id="154">
    <w:p w14:paraId="374664C2" w14:textId="66DD9A7E" w:rsidR="00B208C1" w:rsidRPr="00E624E6" w:rsidRDefault="00B208C1" w:rsidP="00045C74">
      <w:pPr>
        <w:pStyle w:val="FootnoteText"/>
        <w:tabs>
          <w:tab w:val="left" w:pos="357"/>
        </w:tabs>
        <w:spacing w:after="40"/>
        <w:ind w:left="357" w:hanging="357"/>
        <w:jc w:val="both"/>
        <w:rPr>
          <w:rFonts w:cs="Arial"/>
          <w:sz w:val="16"/>
          <w:szCs w:val="16"/>
        </w:rPr>
      </w:pPr>
      <w:r w:rsidRPr="00B81CCE">
        <w:rPr>
          <w:rStyle w:val="FootnoteReference"/>
          <w:rFonts w:cs="Arial"/>
          <w:sz w:val="18"/>
          <w:szCs w:val="18"/>
        </w:rPr>
        <w:footnoteRef/>
      </w:r>
      <w:r w:rsidRPr="00E624E6">
        <w:rPr>
          <w:rFonts w:cs="Arial"/>
          <w:sz w:val="16"/>
          <w:szCs w:val="16"/>
        </w:rPr>
        <w:t xml:space="preserve"> </w:t>
      </w:r>
      <w:hyperlink r:id="rId138" w:history="1">
        <w:r w:rsidRPr="00E624E6">
          <w:rPr>
            <w:rFonts w:cs="Arial"/>
            <w:sz w:val="16"/>
            <w:szCs w:val="16"/>
          </w:rPr>
          <w:t xml:space="preserve"> </w:t>
        </w:r>
        <w:r>
          <w:rPr>
            <w:rFonts w:cs="Arial"/>
            <w:sz w:val="16"/>
            <w:szCs w:val="16"/>
          </w:rPr>
          <w:tab/>
        </w:r>
      </w:hyperlink>
      <w:r w:rsidRPr="00AB38E7">
        <w:rPr>
          <w:rFonts w:cs="Arial"/>
          <w:sz w:val="16"/>
          <w:szCs w:val="16"/>
        </w:rPr>
        <w:t xml:space="preserve">Advancing New Standards </w:t>
      </w:r>
      <w:r>
        <w:rPr>
          <w:rFonts w:cs="Arial"/>
          <w:sz w:val="16"/>
          <w:szCs w:val="16"/>
        </w:rPr>
        <w:t>i</w:t>
      </w:r>
      <w:r w:rsidRPr="00AB38E7">
        <w:rPr>
          <w:rFonts w:cs="Arial"/>
          <w:sz w:val="16"/>
          <w:szCs w:val="16"/>
        </w:rPr>
        <w:t xml:space="preserve">n Public Health (2020) </w:t>
      </w:r>
      <w:proofErr w:type="spellStart"/>
      <w:r w:rsidRPr="00AB38E7">
        <w:rPr>
          <w:rFonts w:cs="Arial"/>
          <w:sz w:val="16"/>
          <w:szCs w:val="16"/>
        </w:rPr>
        <w:t>Turnaway</w:t>
      </w:r>
      <w:proofErr w:type="spellEnd"/>
      <w:r w:rsidRPr="00AB38E7">
        <w:rPr>
          <w:rFonts w:cs="Arial"/>
          <w:sz w:val="16"/>
          <w:szCs w:val="16"/>
        </w:rPr>
        <w:t xml:space="preserve"> Study [Webpage]. ANSIPH. University of California San Francisco (UCSF), San Francisco. Accessed December 2020. Available from: </w:t>
      </w:r>
      <w:hyperlink r:id="rId139" w:history="1">
        <w:r w:rsidRPr="00AB38E7">
          <w:rPr>
            <w:rStyle w:val="Hyperlink"/>
            <w:rFonts w:cs="Arial"/>
            <w:sz w:val="16"/>
            <w:szCs w:val="16"/>
          </w:rPr>
          <w:t>URL</w:t>
        </w:r>
      </w:hyperlink>
    </w:p>
  </w:footnote>
  <w:footnote w:id="155">
    <w:p w14:paraId="0FCACA69" w14:textId="27A7E69C" w:rsidR="00B208C1" w:rsidRPr="001C3797" w:rsidRDefault="00B208C1" w:rsidP="00045C74">
      <w:pPr>
        <w:tabs>
          <w:tab w:val="left" w:pos="357"/>
        </w:tabs>
        <w:spacing w:after="40" w:line="240" w:lineRule="auto"/>
        <w:ind w:left="357" w:hanging="357"/>
        <w:jc w:val="both"/>
        <w:rPr>
          <w:rFonts w:ascii="Arial" w:eastAsia="Times New Roman" w:hAnsi="Arial" w:cs="Arial"/>
          <w:sz w:val="16"/>
          <w:szCs w:val="16"/>
        </w:rPr>
      </w:pPr>
      <w:r w:rsidRPr="001C3797">
        <w:rPr>
          <w:rStyle w:val="FootnoteReference"/>
          <w:rFonts w:ascii="Arial" w:hAnsi="Arial" w:cs="Arial"/>
          <w:sz w:val="18"/>
          <w:szCs w:val="18"/>
        </w:rPr>
        <w:footnoteRef/>
      </w:r>
      <w:r w:rsidRPr="001C3797">
        <w:rPr>
          <w:rFonts w:ascii="Arial" w:hAnsi="Arial" w:cs="Arial"/>
          <w:sz w:val="16"/>
          <w:szCs w:val="16"/>
        </w:rPr>
        <w:t xml:space="preserve"> </w:t>
      </w:r>
      <w:bookmarkStart w:id="43" w:name="_Hlk58507519"/>
      <w:r>
        <w:rPr>
          <w:rFonts w:ascii="Arial" w:hAnsi="Arial" w:cs="Arial"/>
          <w:sz w:val="16"/>
          <w:szCs w:val="16"/>
        </w:rPr>
        <w:tab/>
      </w:r>
      <w:r w:rsidRPr="001C3797">
        <w:rPr>
          <w:rFonts w:ascii="Arial" w:eastAsia="Times New Roman" w:hAnsi="Arial" w:cs="Arial"/>
          <w:sz w:val="16"/>
          <w:szCs w:val="16"/>
        </w:rPr>
        <w:t>Women’s Health Victoria</w:t>
      </w:r>
      <w:r>
        <w:rPr>
          <w:rFonts w:ascii="Arial" w:eastAsia="Times New Roman" w:hAnsi="Arial" w:cs="Arial"/>
          <w:sz w:val="16"/>
          <w:szCs w:val="16"/>
        </w:rPr>
        <w:t xml:space="preserve"> (</w:t>
      </w:r>
      <w:r w:rsidRPr="001C3797">
        <w:rPr>
          <w:rFonts w:ascii="Arial" w:eastAsia="Times New Roman" w:hAnsi="Arial" w:cs="Arial"/>
          <w:sz w:val="16"/>
          <w:szCs w:val="16"/>
        </w:rPr>
        <w:t>2020</w:t>
      </w:r>
      <w:r>
        <w:rPr>
          <w:rFonts w:ascii="Arial" w:eastAsia="Times New Roman" w:hAnsi="Arial" w:cs="Arial"/>
          <w:sz w:val="16"/>
          <w:szCs w:val="16"/>
        </w:rPr>
        <w:t>)</w:t>
      </w:r>
      <w:r w:rsidRPr="001C3797">
        <w:rPr>
          <w:rFonts w:ascii="Arial" w:eastAsia="Times New Roman" w:hAnsi="Arial" w:cs="Arial"/>
          <w:sz w:val="16"/>
          <w:szCs w:val="16"/>
        </w:rPr>
        <w:t xml:space="preserve"> Delivering optimal sexual and reproductive health outcomes for Victorian women: </w:t>
      </w:r>
      <w:r>
        <w:rPr>
          <w:rFonts w:ascii="Arial" w:eastAsia="Times New Roman" w:hAnsi="Arial" w:cs="Arial"/>
          <w:sz w:val="16"/>
          <w:szCs w:val="16"/>
        </w:rPr>
        <w:t>p</w:t>
      </w:r>
      <w:r w:rsidRPr="001C3797">
        <w:rPr>
          <w:rFonts w:ascii="Arial" w:eastAsia="Times New Roman" w:hAnsi="Arial" w:cs="Arial"/>
          <w:sz w:val="16"/>
          <w:szCs w:val="16"/>
        </w:rPr>
        <w:t>riorities for the next women’s sexual and reproductive health plan 2021-2025</w:t>
      </w:r>
      <w:r w:rsidRPr="001C3797">
        <w:rPr>
          <w:rFonts w:ascii="Arial" w:eastAsia="Times New Roman" w:hAnsi="Arial" w:cs="Arial"/>
          <w:i/>
          <w:iCs/>
          <w:sz w:val="16"/>
          <w:szCs w:val="16"/>
        </w:rPr>
        <w:t>.</w:t>
      </w:r>
      <w:r w:rsidRPr="001C3797">
        <w:rPr>
          <w:rFonts w:ascii="Arial" w:eastAsia="Times New Roman" w:hAnsi="Arial" w:cs="Arial"/>
          <w:sz w:val="16"/>
          <w:szCs w:val="16"/>
        </w:rPr>
        <w:t xml:space="preserve"> W</w:t>
      </w:r>
      <w:r>
        <w:rPr>
          <w:rFonts w:ascii="Arial" w:eastAsia="Times New Roman" w:hAnsi="Arial" w:cs="Arial"/>
          <w:sz w:val="16"/>
          <w:szCs w:val="16"/>
        </w:rPr>
        <w:t xml:space="preserve">omen’s Health Victoria, </w:t>
      </w:r>
      <w:r w:rsidRPr="001C3797">
        <w:rPr>
          <w:rFonts w:ascii="Arial" w:eastAsia="Times New Roman" w:hAnsi="Arial" w:cs="Arial"/>
          <w:sz w:val="16"/>
          <w:szCs w:val="16"/>
        </w:rPr>
        <w:t>Melbourne.</w:t>
      </w:r>
      <w:bookmarkEnd w:id="43"/>
    </w:p>
  </w:footnote>
  <w:footnote w:id="156">
    <w:p w14:paraId="52D49051" w14:textId="046183D9" w:rsidR="00B208C1" w:rsidRPr="001C3797" w:rsidRDefault="00B208C1" w:rsidP="00045C74">
      <w:pPr>
        <w:tabs>
          <w:tab w:val="left" w:pos="357"/>
        </w:tabs>
        <w:spacing w:after="40" w:line="240" w:lineRule="auto"/>
        <w:ind w:left="357" w:hanging="357"/>
        <w:jc w:val="both"/>
        <w:rPr>
          <w:rFonts w:ascii="Arial" w:eastAsia="Times New Roman" w:hAnsi="Arial" w:cs="Arial"/>
          <w:sz w:val="16"/>
          <w:szCs w:val="16"/>
          <w:u w:val="single"/>
        </w:rPr>
      </w:pPr>
      <w:r w:rsidRPr="001C3797">
        <w:rPr>
          <w:rStyle w:val="FootnoteReference"/>
          <w:rFonts w:ascii="Arial" w:hAnsi="Arial" w:cs="Arial"/>
          <w:sz w:val="18"/>
          <w:szCs w:val="18"/>
        </w:rPr>
        <w:footnoteRef/>
      </w:r>
      <w:r w:rsidRPr="001C3797">
        <w:rPr>
          <w:rFonts w:ascii="Arial" w:hAnsi="Arial" w:cs="Arial"/>
          <w:sz w:val="16"/>
          <w:szCs w:val="16"/>
        </w:rPr>
        <w:t xml:space="preserve"> </w:t>
      </w:r>
      <w:r>
        <w:rPr>
          <w:rFonts w:ascii="Arial" w:hAnsi="Arial" w:cs="Arial"/>
          <w:sz w:val="16"/>
          <w:szCs w:val="16"/>
        </w:rPr>
        <w:tab/>
      </w:r>
      <w:r w:rsidRPr="001C3797">
        <w:rPr>
          <w:rFonts w:ascii="Arial" w:eastAsia="Times New Roman" w:hAnsi="Arial" w:cs="Arial"/>
          <w:sz w:val="16"/>
          <w:szCs w:val="16"/>
        </w:rPr>
        <w:t>World Health Organisati</w:t>
      </w:r>
      <w:r>
        <w:rPr>
          <w:rFonts w:ascii="Arial" w:eastAsia="Times New Roman" w:hAnsi="Arial" w:cs="Arial"/>
          <w:sz w:val="16"/>
          <w:szCs w:val="16"/>
        </w:rPr>
        <w:t xml:space="preserve">on. </w:t>
      </w:r>
      <w:r w:rsidRPr="001C3797">
        <w:rPr>
          <w:rFonts w:ascii="Arial" w:eastAsia="Times New Roman" w:hAnsi="Arial" w:cs="Arial"/>
          <w:sz w:val="16"/>
          <w:szCs w:val="16"/>
        </w:rPr>
        <w:t>Department of Maternal, Newborn, Child and Adolescent Health</w:t>
      </w:r>
      <w:r>
        <w:rPr>
          <w:rFonts w:ascii="Arial" w:eastAsia="Times New Roman" w:hAnsi="Arial" w:cs="Arial"/>
          <w:sz w:val="16"/>
          <w:szCs w:val="16"/>
        </w:rPr>
        <w:t xml:space="preserve"> (</w:t>
      </w:r>
      <w:r w:rsidRPr="001C3797">
        <w:rPr>
          <w:rFonts w:ascii="Arial" w:eastAsia="Times New Roman" w:hAnsi="Arial" w:cs="Arial"/>
          <w:sz w:val="16"/>
          <w:szCs w:val="16"/>
        </w:rPr>
        <w:t>2012</w:t>
      </w:r>
      <w:r>
        <w:rPr>
          <w:rFonts w:ascii="Arial" w:eastAsia="Times New Roman" w:hAnsi="Arial" w:cs="Arial"/>
          <w:sz w:val="16"/>
          <w:szCs w:val="16"/>
        </w:rPr>
        <w:t>)</w:t>
      </w:r>
      <w:r w:rsidRPr="001C3797">
        <w:rPr>
          <w:rFonts w:ascii="Arial" w:eastAsia="Times New Roman" w:hAnsi="Arial" w:cs="Arial"/>
          <w:sz w:val="16"/>
          <w:szCs w:val="16"/>
        </w:rPr>
        <w:t xml:space="preserve"> Making health services adolescent friendly</w:t>
      </w:r>
      <w:r>
        <w:rPr>
          <w:rFonts w:ascii="Arial" w:eastAsia="Times New Roman" w:hAnsi="Arial" w:cs="Arial"/>
          <w:sz w:val="16"/>
          <w:szCs w:val="16"/>
        </w:rPr>
        <w:t>: d</w:t>
      </w:r>
      <w:r w:rsidRPr="001C3797">
        <w:rPr>
          <w:rFonts w:ascii="Arial" w:eastAsia="Times New Roman" w:hAnsi="Arial" w:cs="Arial"/>
          <w:sz w:val="16"/>
          <w:szCs w:val="16"/>
        </w:rPr>
        <w:t>eveloping national quality standards for adolescent friendly health services</w:t>
      </w:r>
      <w:r>
        <w:rPr>
          <w:rFonts w:ascii="Arial" w:eastAsia="Times New Roman" w:hAnsi="Arial" w:cs="Arial"/>
          <w:sz w:val="16"/>
          <w:szCs w:val="16"/>
        </w:rPr>
        <w:t>.</w:t>
      </w:r>
      <w:r w:rsidRPr="001C3797">
        <w:rPr>
          <w:rFonts w:ascii="Arial" w:eastAsia="Times New Roman" w:hAnsi="Arial" w:cs="Arial"/>
          <w:sz w:val="16"/>
          <w:szCs w:val="16"/>
        </w:rPr>
        <w:t xml:space="preserve"> WHO</w:t>
      </w:r>
      <w:r>
        <w:rPr>
          <w:rFonts w:ascii="Arial" w:eastAsia="Times New Roman" w:hAnsi="Arial" w:cs="Arial"/>
          <w:sz w:val="16"/>
          <w:szCs w:val="16"/>
        </w:rPr>
        <w:t>,</w:t>
      </w:r>
      <w:r w:rsidRPr="001C3797">
        <w:rPr>
          <w:rFonts w:ascii="Arial" w:eastAsia="Times New Roman" w:hAnsi="Arial" w:cs="Arial"/>
          <w:sz w:val="16"/>
          <w:szCs w:val="16"/>
        </w:rPr>
        <w:t xml:space="preserve"> Geneva</w:t>
      </w:r>
      <w:r>
        <w:rPr>
          <w:rFonts w:ascii="Arial" w:eastAsia="Times New Roman" w:hAnsi="Arial" w:cs="Arial"/>
          <w:sz w:val="16"/>
          <w:szCs w:val="16"/>
        </w:rPr>
        <w:t>.</w:t>
      </w:r>
      <w:r w:rsidRPr="001C3797">
        <w:rPr>
          <w:rFonts w:ascii="Arial" w:eastAsia="Times New Roman" w:hAnsi="Arial" w:cs="Arial"/>
          <w:sz w:val="16"/>
          <w:szCs w:val="16"/>
        </w:rPr>
        <w:t xml:space="preserve"> Available</w:t>
      </w:r>
      <w:r>
        <w:rPr>
          <w:rFonts w:ascii="Arial" w:eastAsia="Times New Roman" w:hAnsi="Arial" w:cs="Arial"/>
          <w:sz w:val="16"/>
          <w:szCs w:val="16"/>
        </w:rPr>
        <w:t xml:space="preserve"> from:</w:t>
      </w:r>
      <w:r w:rsidRPr="001C3797">
        <w:rPr>
          <w:rFonts w:ascii="Arial" w:eastAsia="Times New Roman" w:hAnsi="Arial" w:cs="Arial"/>
          <w:sz w:val="16"/>
          <w:szCs w:val="16"/>
        </w:rPr>
        <w:t xml:space="preserve"> </w:t>
      </w:r>
      <w:hyperlink r:id="rId140" w:history="1">
        <w:r>
          <w:rPr>
            <w:rFonts w:ascii="Arial" w:eastAsia="Times New Roman" w:hAnsi="Arial" w:cs="Arial"/>
            <w:color w:val="0563C1" w:themeColor="hyperlink"/>
            <w:sz w:val="16"/>
            <w:szCs w:val="16"/>
            <w:u w:val="single"/>
          </w:rPr>
          <w:t>URL</w:t>
        </w:r>
      </w:hyperlink>
    </w:p>
  </w:footnote>
  <w:footnote w:id="157">
    <w:p w14:paraId="2FF5F40F" w14:textId="6BFFAFF3" w:rsidR="00B208C1" w:rsidRPr="001C3797" w:rsidRDefault="00B208C1" w:rsidP="00045C74">
      <w:pPr>
        <w:tabs>
          <w:tab w:val="left" w:pos="357"/>
        </w:tabs>
        <w:spacing w:after="40" w:line="240" w:lineRule="auto"/>
        <w:ind w:left="357" w:hanging="357"/>
        <w:jc w:val="both"/>
        <w:rPr>
          <w:rFonts w:ascii="Arial" w:eastAsia="Times New Roman" w:hAnsi="Arial" w:cs="Arial"/>
          <w:sz w:val="16"/>
          <w:szCs w:val="16"/>
          <w:u w:val="single"/>
        </w:rPr>
      </w:pPr>
      <w:r w:rsidRPr="001C3797">
        <w:rPr>
          <w:rStyle w:val="FootnoteReference"/>
          <w:rFonts w:ascii="Arial" w:hAnsi="Arial" w:cs="Arial"/>
          <w:sz w:val="18"/>
          <w:szCs w:val="18"/>
        </w:rPr>
        <w:footnoteRef/>
      </w:r>
      <w:r w:rsidRPr="001C3797">
        <w:rPr>
          <w:rFonts w:ascii="Arial" w:hAnsi="Arial" w:cs="Arial"/>
          <w:sz w:val="16"/>
          <w:szCs w:val="16"/>
        </w:rPr>
        <w:t xml:space="preserve"> </w:t>
      </w:r>
      <w:r>
        <w:rPr>
          <w:rFonts w:ascii="Arial" w:hAnsi="Arial" w:cs="Arial"/>
          <w:sz w:val="16"/>
          <w:szCs w:val="16"/>
        </w:rPr>
        <w:tab/>
      </w:r>
      <w:r w:rsidRPr="001C3797">
        <w:rPr>
          <w:rFonts w:ascii="Arial" w:eastAsia="Times New Roman" w:hAnsi="Arial" w:cs="Arial"/>
          <w:sz w:val="16"/>
          <w:szCs w:val="16"/>
        </w:rPr>
        <w:t>Family Planning Victoria</w:t>
      </w:r>
      <w:r>
        <w:rPr>
          <w:rFonts w:ascii="Arial" w:eastAsia="Times New Roman" w:hAnsi="Arial" w:cs="Arial"/>
          <w:sz w:val="16"/>
          <w:szCs w:val="16"/>
        </w:rPr>
        <w:t xml:space="preserve"> (</w:t>
      </w:r>
      <w:r w:rsidRPr="001C3797">
        <w:rPr>
          <w:rFonts w:ascii="Arial" w:eastAsia="Times New Roman" w:hAnsi="Arial" w:cs="Arial"/>
          <w:sz w:val="16"/>
          <w:szCs w:val="16"/>
        </w:rPr>
        <w:t>2017</w:t>
      </w:r>
      <w:r>
        <w:rPr>
          <w:rFonts w:ascii="Arial" w:eastAsia="Times New Roman" w:hAnsi="Arial" w:cs="Arial"/>
          <w:sz w:val="16"/>
          <w:szCs w:val="16"/>
        </w:rPr>
        <w:t>)</w:t>
      </w:r>
      <w:r w:rsidRPr="001C3797">
        <w:rPr>
          <w:rFonts w:ascii="Arial" w:eastAsia="Times New Roman" w:hAnsi="Arial" w:cs="Arial"/>
          <w:i/>
          <w:iCs/>
          <w:sz w:val="16"/>
          <w:szCs w:val="16"/>
        </w:rPr>
        <w:t xml:space="preserve"> </w:t>
      </w:r>
      <w:r w:rsidRPr="001C3797">
        <w:rPr>
          <w:rFonts w:ascii="Arial" w:eastAsia="Times New Roman" w:hAnsi="Arial" w:cs="Arial"/>
          <w:sz w:val="16"/>
          <w:szCs w:val="16"/>
        </w:rPr>
        <w:t>Improving access to reproductive and sexual health services for young people</w:t>
      </w:r>
      <w:r>
        <w:rPr>
          <w:rFonts w:ascii="Arial" w:eastAsia="Times New Roman" w:hAnsi="Arial" w:cs="Arial"/>
          <w:sz w:val="16"/>
          <w:szCs w:val="16"/>
        </w:rPr>
        <w:t>: a</w:t>
      </w:r>
      <w:r w:rsidRPr="001C3797">
        <w:rPr>
          <w:rFonts w:ascii="Arial" w:eastAsia="Times New Roman" w:hAnsi="Arial" w:cs="Arial"/>
          <w:sz w:val="16"/>
          <w:szCs w:val="16"/>
        </w:rPr>
        <w:t xml:space="preserve"> service coordination guide for primary health care providers in Victoria</w:t>
      </w:r>
      <w:r w:rsidRPr="001C3797">
        <w:rPr>
          <w:rFonts w:ascii="Arial" w:eastAsia="Times New Roman" w:hAnsi="Arial" w:cs="Arial"/>
          <w:i/>
          <w:iCs/>
          <w:sz w:val="16"/>
          <w:szCs w:val="16"/>
        </w:rPr>
        <w:t>.</w:t>
      </w:r>
      <w:r w:rsidRPr="001C3797">
        <w:rPr>
          <w:rFonts w:ascii="Arial" w:eastAsia="Times New Roman" w:hAnsi="Arial" w:cs="Arial"/>
          <w:sz w:val="16"/>
          <w:szCs w:val="16"/>
        </w:rPr>
        <w:t xml:space="preserve"> FPV</w:t>
      </w:r>
      <w:r>
        <w:rPr>
          <w:rFonts w:ascii="Arial" w:eastAsia="Times New Roman" w:hAnsi="Arial" w:cs="Arial"/>
          <w:sz w:val="16"/>
          <w:szCs w:val="16"/>
        </w:rPr>
        <w:t>,</w:t>
      </w:r>
      <w:r w:rsidRPr="001C3797">
        <w:rPr>
          <w:rFonts w:ascii="Arial" w:eastAsia="Times New Roman" w:hAnsi="Arial" w:cs="Arial"/>
          <w:sz w:val="16"/>
          <w:szCs w:val="16"/>
        </w:rPr>
        <w:t xml:space="preserve"> Melbourne. Available</w:t>
      </w:r>
      <w:r>
        <w:rPr>
          <w:rFonts w:ascii="Arial" w:eastAsia="Times New Roman" w:hAnsi="Arial" w:cs="Arial"/>
          <w:sz w:val="16"/>
          <w:szCs w:val="16"/>
        </w:rPr>
        <w:t xml:space="preserve"> from:</w:t>
      </w:r>
      <w:r w:rsidRPr="001C3797">
        <w:rPr>
          <w:rFonts w:ascii="Arial" w:eastAsia="Times New Roman" w:hAnsi="Arial" w:cs="Arial"/>
          <w:sz w:val="16"/>
          <w:szCs w:val="16"/>
        </w:rPr>
        <w:t xml:space="preserve"> </w:t>
      </w:r>
      <w:hyperlink r:id="rId141" w:history="1">
        <w:r>
          <w:rPr>
            <w:rFonts w:ascii="Arial" w:eastAsia="Times New Roman" w:hAnsi="Arial" w:cs="Arial"/>
            <w:color w:val="0563C1" w:themeColor="hyperlink"/>
            <w:sz w:val="16"/>
            <w:szCs w:val="16"/>
            <w:u w:val="single"/>
          </w:rPr>
          <w:t>URL</w:t>
        </w:r>
      </w:hyperlink>
    </w:p>
    <w:p w14:paraId="5F8EC399" w14:textId="09A0BA4B" w:rsidR="00B208C1" w:rsidRDefault="00B208C1">
      <w:pPr>
        <w:pStyle w:val="FootnoteText"/>
      </w:pPr>
    </w:p>
  </w:footnote>
  <w:footnote w:id="158">
    <w:p w14:paraId="15E39B3B" w14:textId="2F34BF87" w:rsidR="00B208C1" w:rsidRPr="006D78F4" w:rsidRDefault="00B208C1" w:rsidP="00045C74">
      <w:pPr>
        <w:tabs>
          <w:tab w:val="left" w:pos="357"/>
        </w:tabs>
        <w:spacing w:after="40" w:line="240" w:lineRule="auto"/>
        <w:ind w:left="357" w:hanging="357"/>
        <w:jc w:val="both"/>
        <w:rPr>
          <w:rFonts w:ascii="Arial" w:eastAsia="Times New Roman" w:hAnsi="Arial" w:cs="Arial"/>
          <w:sz w:val="16"/>
          <w:szCs w:val="16"/>
        </w:rPr>
      </w:pPr>
      <w:r w:rsidRPr="006D78F4">
        <w:rPr>
          <w:rStyle w:val="FootnoteReference"/>
          <w:rFonts w:ascii="Arial" w:hAnsi="Arial" w:cs="Arial"/>
          <w:sz w:val="18"/>
          <w:szCs w:val="18"/>
        </w:rPr>
        <w:footnoteRef/>
      </w:r>
      <w:r w:rsidRPr="006D78F4">
        <w:rPr>
          <w:rFonts w:ascii="Arial" w:hAnsi="Arial" w:cs="Arial"/>
          <w:sz w:val="18"/>
          <w:szCs w:val="18"/>
        </w:rPr>
        <w:t xml:space="preserve"> </w:t>
      </w:r>
      <w:bookmarkStart w:id="48" w:name="_Hlk58505826"/>
      <w:r>
        <w:rPr>
          <w:rFonts w:ascii="Arial" w:hAnsi="Arial" w:cs="Arial"/>
          <w:sz w:val="16"/>
          <w:szCs w:val="16"/>
        </w:rPr>
        <w:tab/>
      </w:r>
      <w:r w:rsidRPr="006D78F4">
        <w:rPr>
          <w:rFonts w:ascii="Arial" w:eastAsia="Times New Roman" w:hAnsi="Arial" w:cs="Arial"/>
          <w:sz w:val="16"/>
          <w:szCs w:val="16"/>
        </w:rPr>
        <w:t>Politoff, V., Politoff V, Crabbe M, Honey N, Mannix S, Mickle J, Morgan J, et al. (2019) Young Australians’ attitudes to violence against women and gender equality: findings from the 2017 National Community Attitudes towards Violence against Women Survey (NCAS). ANROWS, Sydney – (</w:t>
      </w:r>
      <w:r w:rsidRPr="006D78F4">
        <w:rPr>
          <w:rFonts w:ascii="Arial" w:eastAsia="Times New Roman" w:hAnsi="Arial" w:cs="Arial"/>
          <w:i/>
          <w:iCs/>
          <w:sz w:val="16"/>
          <w:szCs w:val="16"/>
        </w:rPr>
        <w:t>ANROWS Insights;</w:t>
      </w:r>
      <w:r w:rsidRPr="006D78F4">
        <w:rPr>
          <w:rFonts w:ascii="Arial" w:eastAsia="Times New Roman" w:hAnsi="Arial" w:cs="Arial"/>
          <w:sz w:val="16"/>
          <w:szCs w:val="16"/>
        </w:rPr>
        <w:t xml:space="preserve"> 01/2019). Available from: </w:t>
      </w:r>
      <w:hyperlink r:id="rId142" w:history="1">
        <w:r w:rsidRPr="006D78F4">
          <w:rPr>
            <w:rFonts w:ascii="Arial" w:eastAsia="Times New Roman" w:hAnsi="Arial" w:cs="Arial"/>
            <w:color w:val="0563C1" w:themeColor="hyperlink"/>
            <w:sz w:val="16"/>
            <w:szCs w:val="16"/>
            <w:u w:val="single"/>
          </w:rPr>
          <w:t>URL</w:t>
        </w:r>
      </w:hyperlink>
      <w:bookmarkEnd w:id="48"/>
    </w:p>
  </w:footnote>
  <w:footnote w:id="159">
    <w:p w14:paraId="19CE0458" w14:textId="1FABAE77" w:rsidR="00B208C1" w:rsidRPr="008F7D17" w:rsidRDefault="00B208C1" w:rsidP="00045C74">
      <w:pPr>
        <w:tabs>
          <w:tab w:val="left" w:pos="357"/>
        </w:tabs>
        <w:spacing w:after="40" w:line="240" w:lineRule="auto"/>
        <w:ind w:left="357" w:hanging="357"/>
        <w:jc w:val="both"/>
        <w:rPr>
          <w:rFonts w:ascii="Arial" w:hAnsi="Arial" w:cs="Arial"/>
          <w:sz w:val="16"/>
          <w:szCs w:val="16"/>
          <w:lang w:val="en-US"/>
        </w:rPr>
      </w:pPr>
      <w:r w:rsidRPr="008F7D17">
        <w:rPr>
          <w:rStyle w:val="FootnoteReference"/>
          <w:rFonts w:ascii="Arial" w:hAnsi="Arial" w:cs="Arial"/>
          <w:sz w:val="18"/>
          <w:szCs w:val="18"/>
        </w:rPr>
        <w:footnoteRef/>
      </w:r>
      <w:r w:rsidRPr="008F7D17">
        <w:rPr>
          <w:rFonts w:ascii="Arial" w:hAnsi="Arial" w:cs="Arial"/>
          <w:sz w:val="16"/>
          <w:szCs w:val="16"/>
        </w:rPr>
        <w:t xml:space="preserve"> </w:t>
      </w:r>
      <w:r>
        <w:rPr>
          <w:rFonts w:ascii="Arial" w:hAnsi="Arial" w:cs="Arial"/>
          <w:sz w:val="16"/>
          <w:szCs w:val="16"/>
        </w:rPr>
        <w:tab/>
      </w:r>
      <w:r w:rsidRPr="008F7D17">
        <w:rPr>
          <w:rFonts w:ascii="Arial" w:eastAsia="Times New Roman" w:hAnsi="Arial" w:cs="Arial"/>
          <w:sz w:val="16"/>
          <w:szCs w:val="16"/>
        </w:rPr>
        <w:t>Our Watch, Australia’s National Research Organisation for Women’s Safety (ANROWS)</w:t>
      </w:r>
      <w:r>
        <w:rPr>
          <w:rFonts w:ascii="Arial" w:eastAsia="Times New Roman" w:hAnsi="Arial" w:cs="Arial"/>
          <w:sz w:val="16"/>
          <w:szCs w:val="16"/>
        </w:rPr>
        <w:t xml:space="preserve">, </w:t>
      </w:r>
      <w:r w:rsidRPr="008F7D17">
        <w:rPr>
          <w:rFonts w:ascii="Arial" w:eastAsia="Times New Roman" w:hAnsi="Arial" w:cs="Arial"/>
          <w:sz w:val="16"/>
          <w:szCs w:val="16"/>
        </w:rPr>
        <w:t>VicHealth</w:t>
      </w:r>
      <w:r>
        <w:rPr>
          <w:rFonts w:ascii="Arial" w:eastAsia="Times New Roman" w:hAnsi="Arial" w:cs="Arial"/>
          <w:sz w:val="16"/>
          <w:szCs w:val="16"/>
        </w:rPr>
        <w:t xml:space="preserve"> (2015) </w:t>
      </w:r>
      <w:r w:rsidRPr="008F7D17">
        <w:rPr>
          <w:rFonts w:ascii="Arial" w:eastAsia="Times New Roman" w:hAnsi="Arial" w:cs="Arial"/>
          <w:sz w:val="16"/>
          <w:szCs w:val="16"/>
        </w:rPr>
        <w:t>Change the story: a shared framework for the primary prevention of violence against women and their children in Australia</w:t>
      </w:r>
      <w:r>
        <w:rPr>
          <w:rFonts w:ascii="Arial" w:eastAsia="Times New Roman" w:hAnsi="Arial" w:cs="Arial"/>
          <w:i/>
          <w:iCs/>
          <w:sz w:val="16"/>
          <w:szCs w:val="16"/>
        </w:rPr>
        <w:t xml:space="preserve">. </w:t>
      </w:r>
      <w:r w:rsidRPr="008F7D17">
        <w:rPr>
          <w:rFonts w:ascii="Arial" w:eastAsia="Times New Roman" w:hAnsi="Arial" w:cs="Arial"/>
          <w:sz w:val="16"/>
          <w:szCs w:val="16"/>
        </w:rPr>
        <w:t>Our Watch, Melbourne. Available</w:t>
      </w:r>
      <w:r>
        <w:rPr>
          <w:rFonts w:ascii="Arial" w:eastAsia="Times New Roman" w:hAnsi="Arial" w:cs="Arial"/>
          <w:sz w:val="16"/>
          <w:szCs w:val="16"/>
        </w:rPr>
        <w:t xml:space="preserve"> from: </w:t>
      </w:r>
      <w:hyperlink r:id="rId143" w:history="1">
        <w:r>
          <w:rPr>
            <w:rFonts w:ascii="Arial" w:eastAsia="Times New Roman" w:hAnsi="Arial" w:cs="Arial"/>
            <w:color w:val="0563C1" w:themeColor="hyperlink"/>
            <w:sz w:val="16"/>
            <w:szCs w:val="16"/>
            <w:u w:val="single"/>
          </w:rPr>
          <w:t>URL</w:t>
        </w:r>
      </w:hyperlink>
    </w:p>
  </w:footnote>
  <w:footnote w:id="160">
    <w:p w14:paraId="14E57886" w14:textId="77777777" w:rsidR="00B208C1" w:rsidRPr="008F7D17" w:rsidRDefault="00B208C1" w:rsidP="00363A07">
      <w:pPr>
        <w:shd w:val="clear" w:color="auto" w:fill="FFFFFF"/>
        <w:tabs>
          <w:tab w:val="left" w:pos="357"/>
        </w:tabs>
        <w:suppressAutoHyphens/>
        <w:spacing w:after="40" w:line="240" w:lineRule="auto"/>
        <w:ind w:left="357" w:hanging="357"/>
        <w:jc w:val="both"/>
        <w:textAlignment w:val="baseline"/>
        <w:outlineLvl w:val="0"/>
        <w:rPr>
          <w:rFonts w:ascii="Arial" w:eastAsia="Times New Roman" w:hAnsi="Arial" w:cs="Arial"/>
          <w:sz w:val="16"/>
          <w:szCs w:val="16"/>
        </w:rPr>
      </w:pPr>
      <w:r w:rsidRPr="008F7D17">
        <w:rPr>
          <w:rStyle w:val="FootnoteReference"/>
          <w:rFonts w:ascii="Arial" w:hAnsi="Arial" w:cs="Arial"/>
          <w:sz w:val="18"/>
          <w:szCs w:val="18"/>
        </w:rPr>
        <w:footnoteRef/>
      </w:r>
      <w:r w:rsidRPr="008F7D17">
        <w:rPr>
          <w:rFonts w:ascii="Arial" w:hAnsi="Arial" w:cs="Arial"/>
          <w:sz w:val="16"/>
          <w:szCs w:val="16"/>
        </w:rPr>
        <w:t xml:space="preserve"> </w:t>
      </w:r>
      <w:r>
        <w:rPr>
          <w:rFonts w:ascii="Arial" w:hAnsi="Arial" w:cs="Arial"/>
          <w:sz w:val="16"/>
          <w:szCs w:val="16"/>
        </w:rPr>
        <w:tab/>
      </w:r>
      <w:r w:rsidRPr="008F7D17">
        <w:rPr>
          <w:rFonts w:ascii="Arial" w:eastAsia="Times New Roman" w:hAnsi="Arial" w:cs="Arial"/>
          <w:sz w:val="16"/>
          <w:szCs w:val="16"/>
        </w:rPr>
        <w:t>Centre of Research Excellence in Disability and Health</w:t>
      </w:r>
      <w:r>
        <w:rPr>
          <w:rFonts w:ascii="Arial" w:eastAsia="Times New Roman" w:hAnsi="Arial" w:cs="Arial"/>
          <w:sz w:val="16"/>
          <w:szCs w:val="16"/>
        </w:rPr>
        <w:t xml:space="preserve">. </w:t>
      </w:r>
      <w:r w:rsidRPr="008F7D17">
        <w:rPr>
          <w:rFonts w:ascii="Arial" w:eastAsia="Times New Roman" w:hAnsi="Arial" w:cs="Arial"/>
          <w:sz w:val="16"/>
          <w:szCs w:val="16"/>
        </w:rPr>
        <w:t>Violence against young people with disability in Australia</w:t>
      </w:r>
      <w:r>
        <w:rPr>
          <w:rFonts w:ascii="Arial" w:eastAsia="Times New Roman" w:hAnsi="Arial" w:cs="Arial"/>
          <w:i/>
          <w:iCs/>
          <w:sz w:val="16"/>
          <w:szCs w:val="16"/>
        </w:rPr>
        <w:t>.</w:t>
      </w:r>
      <w:r>
        <w:rPr>
          <w:rFonts w:ascii="Arial" w:eastAsia="Times New Roman" w:hAnsi="Arial" w:cs="Arial"/>
          <w:i/>
          <w:iCs/>
          <w:sz w:val="16"/>
          <w:szCs w:val="16"/>
        </w:rPr>
        <w:br/>
      </w:r>
      <w:r>
        <w:rPr>
          <w:rFonts w:ascii="Arial" w:eastAsia="Times New Roman" w:hAnsi="Arial" w:cs="Arial"/>
          <w:sz w:val="16"/>
          <w:szCs w:val="16"/>
        </w:rPr>
        <w:t>CRE-DH, Parkville, Vic. – (</w:t>
      </w:r>
      <w:r w:rsidRPr="008F7D17">
        <w:rPr>
          <w:rFonts w:ascii="Arial" w:eastAsia="Times New Roman" w:hAnsi="Arial" w:cs="Arial"/>
          <w:i/>
          <w:iCs/>
          <w:sz w:val="16"/>
          <w:szCs w:val="16"/>
        </w:rPr>
        <w:t>CRE</w:t>
      </w:r>
      <w:r>
        <w:rPr>
          <w:rFonts w:ascii="Arial" w:eastAsia="Times New Roman" w:hAnsi="Arial" w:cs="Arial"/>
          <w:i/>
          <w:iCs/>
          <w:sz w:val="16"/>
          <w:szCs w:val="16"/>
        </w:rPr>
        <w:t>-</w:t>
      </w:r>
      <w:r w:rsidRPr="008F7D17">
        <w:rPr>
          <w:rFonts w:ascii="Arial" w:eastAsia="Times New Roman" w:hAnsi="Arial" w:cs="Arial"/>
          <w:i/>
          <w:iCs/>
          <w:sz w:val="16"/>
          <w:szCs w:val="16"/>
        </w:rPr>
        <w:t>DH Fact Sheet</w:t>
      </w:r>
      <w:r>
        <w:rPr>
          <w:rFonts w:ascii="Arial" w:eastAsia="Times New Roman" w:hAnsi="Arial" w:cs="Arial"/>
          <w:sz w:val="16"/>
          <w:szCs w:val="16"/>
        </w:rPr>
        <w:t>; 2).</w:t>
      </w:r>
      <w:r w:rsidRPr="008F7D17">
        <w:rPr>
          <w:rFonts w:ascii="Arial" w:eastAsia="Times New Roman" w:hAnsi="Arial" w:cs="Arial"/>
          <w:i/>
          <w:iCs/>
          <w:sz w:val="16"/>
          <w:szCs w:val="16"/>
        </w:rPr>
        <w:t xml:space="preserve"> </w:t>
      </w:r>
      <w:r w:rsidRPr="008F7D17">
        <w:rPr>
          <w:rFonts w:ascii="Arial" w:eastAsia="Times New Roman" w:hAnsi="Arial" w:cs="Arial"/>
          <w:sz w:val="16"/>
          <w:szCs w:val="16"/>
        </w:rPr>
        <w:t>Available</w:t>
      </w:r>
      <w:r>
        <w:rPr>
          <w:rFonts w:ascii="Arial" w:eastAsia="Times New Roman" w:hAnsi="Arial" w:cs="Arial"/>
          <w:sz w:val="16"/>
          <w:szCs w:val="16"/>
        </w:rPr>
        <w:t xml:space="preserve"> from: </w:t>
      </w:r>
      <w:hyperlink r:id="rId144" w:history="1">
        <w:r>
          <w:rPr>
            <w:rFonts w:ascii="Arial" w:eastAsia="Times New Roman" w:hAnsi="Arial" w:cs="Arial"/>
            <w:color w:val="0563C1" w:themeColor="hyperlink"/>
            <w:sz w:val="16"/>
            <w:szCs w:val="16"/>
            <w:u w:val="single"/>
          </w:rPr>
          <w:t>URL</w:t>
        </w:r>
      </w:hyperlink>
    </w:p>
  </w:footnote>
  <w:footnote w:id="161">
    <w:p w14:paraId="41226760" w14:textId="62A41984" w:rsidR="00B208C1" w:rsidRPr="00415A38" w:rsidRDefault="00B208C1" w:rsidP="00045C74">
      <w:pPr>
        <w:tabs>
          <w:tab w:val="left" w:pos="357"/>
        </w:tabs>
        <w:spacing w:after="40" w:line="240" w:lineRule="auto"/>
        <w:ind w:left="357" w:hanging="357"/>
        <w:jc w:val="both"/>
        <w:rPr>
          <w:rFonts w:ascii="Arial" w:eastAsia="Times New Roman" w:hAnsi="Arial" w:cs="Arial"/>
          <w:sz w:val="16"/>
          <w:szCs w:val="16"/>
        </w:rPr>
      </w:pPr>
      <w:r w:rsidRPr="00D052C4">
        <w:rPr>
          <w:rStyle w:val="FootnoteReference"/>
          <w:rFonts w:ascii="Arial" w:hAnsi="Arial" w:cs="Arial"/>
          <w:sz w:val="18"/>
          <w:szCs w:val="18"/>
        </w:rPr>
        <w:footnoteRef/>
      </w:r>
      <w:r w:rsidRPr="00415A38">
        <w:rPr>
          <w:rFonts w:ascii="Arial" w:hAnsi="Arial" w:cs="Arial"/>
          <w:sz w:val="16"/>
          <w:szCs w:val="16"/>
        </w:rPr>
        <w:t xml:space="preserve"> </w:t>
      </w:r>
      <w:r>
        <w:rPr>
          <w:rFonts w:ascii="Arial" w:hAnsi="Arial" w:cs="Arial"/>
          <w:sz w:val="16"/>
          <w:szCs w:val="16"/>
        </w:rPr>
        <w:tab/>
      </w:r>
      <w:r w:rsidRPr="00415A38">
        <w:rPr>
          <w:rFonts w:ascii="Arial" w:eastAsia="Times New Roman" w:hAnsi="Arial" w:cs="Arial"/>
          <w:sz w:val="16"/>
          <w:szCs w:val="16"/>
        </w:rPr>
        <w:t xml:space="preserve">Our Watch (2020) Tracking progress in prevention: a national monitoring report on progress towards the primary prevention of violence against women and their children in Australia, Our Watch, Melbourne. Available from: </w:t>
      </w:r>
      <w:hyperlink r:id="rId145" w:history="1">
        <w:r w:rsidRPr="00415A38">
          <w:rPr>
            <w:rFonts w:ascii="Arial" w:eastAsia="Times New Roman" w:hAnsi="Arial" w:cs="Arial"/>
            <w:color w:val="0563C1" w:themeColor="hyperlink"/>
            <w:sz w:val="16"/>
            <w:szCs w:val="16"/>
            <w:u w:val="single"/>
          </w:rPr>
          <w:t>URL</w:t>
        </w:r>
      </w:hyperlink>
    </w:p>
  </w:footnote>
  <w:footnote w:id="162">
    <w:p w14:paraId="1B271505" w14:textId="667F6022" w:rsidR="00B208C1" w:rsidRPr="00415A38" w:rsidRDefault="00B208C1" w:rsidP="00045C74">
      <w:pPr>
        <w:tabs>
          <w:tab w:val="left" w:pos="357"/>
        </w:tabs>
        <w:spacing w:after="40" w:line="240" w:lineRule="auto"/>
        <w:ind w:left="357" w:hanging="357"/>
        <w:jc w:val="both"/>
        <w:rPr>
          <w:rFonts w:ascii="Arial" w:eastAsia="Times New Roman" w:hAnsi="Arial" w:cs="Arial"/>
          <w:sz w:val="16"/>
          <w:szCs w:val="16"/>
        </w:rPr>
      </w:pPr>
      <w:r w:rsidRPr="00D052C4">
        <w:rPr>
          <w:rStyle w:val="FootnoteReference"/>
          <w:rFonts w:ascii="Arial" w:hAnsi="Arial" w:cs="Arial"/>
          <w:sz w:val="18"/>
          <w:szCs w:val="18"/>
        </w:rPr>
        <w:footnoteRef/>
      </w:r>
      <w:r w:rsidRPr="00415A38">
        <w:rPr>
          <w:rFonts w:ascii="Arial" w:hAnsi="Arial" w:cs="Arial"/>
          <w:sz w:val="16"/>
          <w:szCs w:val="16"/>
        </w:rPr>
        <w:t xml:space="preserve"> </w:t>
      </w:r>
      <w:r w:rsidRPr="00415A38">
        <w:rPr>
          <w:rFonts w:ascii="Arial" w:eastAsia="Times New Roman" w:hAnsi="Arial" w:cs="Arial"/>
          <w:sz w:val="16"/>
          <w:szCs w:val="16"/>
        </w:rPr>
        <w:tab/>
        <w:t>Politoff V, Crabbe M, Honey N, Mannix S, Mickle J, Morgan J, et al. (2019) Young Australians’ attitudes to violence against women and gender equality: findings from the 2017 National Community Attitudes towards Violence against Women Survey (NCAS). ANROWS, Sydney – (</w:t>
      </w:r>
      <w:r w:rsidRPr="00415A38">
        <w:rPr>
          <w:rFonts w:ascii="Arial" w:eastAsia="Times New Roman" w:hAnsi="Arial" w:cs="Arial"/>
          <w:i/>
          <w:iCs/>
          <w:sz w:val="16"/>
          <w:szCs w:val="16"/>
        </w:rPr>
        <w:t>ANROWS Insights;</w:t>
      </w:r>
      <w:r w:rsidRPr="00415A38">
        <w:rPr>
          <w:rFonts w:ascii="Arial" w:eastAsia="Times New Roman" w:hAnsi="Arial" w:cs="Arial"/>
          <w:sz w:val="16"/>
          <w:szCs w:val="16"/>
        </w:rPr>
        <w:t xml:space="preserve"> 01/2019). Available from: </w:t>
      </w:r>
      <w:hyperlink r:id="rId146" w:history="1">
        <w:r w:rsidRPr="00415A38">
          <w:rPr>
            <w:rFonts w:ascii="Arial" w:eastAsia="Times New Roman" w:hAnsi="Arial" w:cs="Arial"/>
            <w:color w:val="0563C1" w:themeColor="hyperlink"/>
            <w:sz w:val="16"/>
            <w:szCs w:val="16"/>
            <w:u w:val="single"/>
          </w:rPr>
          <w:t>URL</w:t>
        </w:r>
      </w:hyperlink>
    </w:p>
  </w:footnote>
  <w:footnote w:id="163">
    <w:p w14:paraId="2080A95D" w14:textId="0290E485" w:rsidR="00B208C1" w:rsidRPr="00415A38" w:rsidRDefault="00B208C1" w:rsidP="00045C74">
      <w:pPr>
        <w:tabs>
          <w:tab w:val="left" w:pos="357"/>
        </w:tabs>
        <w:spacing w:after="40" w:line="240" w:lineRule="auto"/>
        <w:ind w:left="357" w:hanging="357"/>
        <w:jc w:val="both"/>
        <w:rPr>
          <w:rFonts w:ascii="Arial" w:eastAsia="Times New Roman" w:hAnsi="Arial" w:cs="Arial"/>
          <w:sz w:val="16"/>
          <w:szCs w:val="16"/>
        </w:rPr>
      </w:pPr>
      <w:r w:rsidRPr="00D052C4">
        <w:rPr>
          <w:rStyle w:val="FootnoteReference"/>
          <w:rFonts w:ascii="Arial" w:hAnsi="Arial" w:cs="Arial"/>
          <w:sz w:val="18"/>
          <w:szCs w:val="18"/>
        </w:rPr>
        <w:footnoteRef/>
      </w:r>
      <w:r w:rsidRPr="00D052C4">
        <w:rPr>
          <w:rFonts w:ascii="Arial" w:hAnsi="Arial" w:cs="Arial"/>
          <w:sz w:val="18"/>
          <w:szCs w:val="18"/>
        </w:rPr>
        <w:t xml:space="preserve"> </w:t>
      </w:r>
      <w:r>
        <w:rPr>
          <w:rFonts w:ascii="Arial" w:hAnsi="Arial" w:cs="Arial"/>
          <w:sz w:val="16"/>
          <w:szCs w:val="16"/>
        </w:rPr>
        <w:tab/>
      </w:r>
      <w:r w:rsidRPr="00415A38">
        <w:rPr>
          <w:rFonts w:ascii="Arial" w:eastAsia="Times New Roman" w:hAnsi="Arial" w:cs="Arial"/>
          <w:sz w:val="16"/>
          <w:szCs w:val="16"/>
        </w:rPr>
        <w:t>Australian Human Rights Commission</w:t>
      </w:r>
      <w:r>
        <w:rPr>
          <w:rFonts w:ascii="Arial" w:eastAsia="Times New Roman" w:hAnsi="Arial" w:cs="Arial"/>
          <w:sz w:val="16"/>
          <w:szCs w:val="16"/>
        </w:rPr>
        <w:t xml:space="preserve"> (</w:t>
      </w:r>
      <w:r w:rsidRPr="00415A38">
        <w:rPr>
          <w:rFonts w:ascii="Arial" w:eastAsia="Times New Roman" w:hAnsi="Arial" w:cs="Arial"/>
          <w:sz w:val="16"/>
          <w:szCs w:val="16"/>
        </w:rPr>
        <w:t>2017</w:t>
      </w:r>
      <w:r>
        <w:rPr>
          <w:rFonts w:ascii="Arial" w:eastAsia="Times New Roman" w:hAnsi="Arial" w:cs="Arial"/>
          <w:sz w:val="16"/>
          <w:szCs w:val="16"/>
        </w:rPr>
        <w:t>)</w:t>
      </w:r>
      <w:r w:rsidRPr="00415A38">
        <w:rPr>
          <w:rFonts w:ascii="Arial" w:eastAsia="Times New Roman" w:hAnsi="Arial" w:cs="Arial"/>
          <w:sz w:val="16"/>
          <w:szCs w:val="16"/>
        </w:rPr>
        <w:t xml:space="preserve"> Change the course: </w:t>
      </w:r>
      <w:r>
        <w:rPr>
          <w:rFonts w:ascii="Arial" w:eastAsia="Times New Roman" w:hAnsi="Arial" w:cs="Arial"/>
          <w:sz w:val="16"/>
          <w:szCs w:val="16"/>
        </w:rPr>
        <w:t>N</w:t>
      </w:r>
      <w:r w:rsidRPr="00415A38">
        <w:rPr>
          <w:rFonts w:ascii="Arial" w:eastAsia="Times New Roman" w:hAnsi="Arial" w:cs="Arial"/>
          <w:sz w:val="16"/>
          <w:szCs w:val="16"/>
        </w:rPr>
        <w:t>ational report on sexual assault and sexual harassment at Australian universities</w:t>
      </w:r>
      <w:r>
        <w:rPr>
          <w:rFonts w:ascii="Arial" w:eastAsia="Times New Roman" w:hAnsi="Arial" w:cs="Arial"/>
          <w:sz w:val="16"/>
          <w:szCs w:val="16"/>
        </w:rPr>
        <w:t xml:space="preserve">. </w:t>
      </w:r>
      <w:r w:rsidRPr="00415A38">
        <w:rPr>
          <w:rFonts w:ascii="Arial" w:eastAsia="Times New Roman" w:hAnsi="Arial" w:cs="Arial"/>
          <w:sz w:val="16"/>
          <w:szCs w:val="16"/>
        </w:rPr>
        <w:t>AHRC. Sydney. Available</w:t>
      </w:r>
      <w:r>
        <w:rPr>
          <w:rFonts w:ascii="Arial" w:eastAsia="Times New Roman" w:hAnsi="Arial" w:cs="Arial"/>
          <w:sz w:val="16"/>
          <w:szCs w:val="16"/>
        </w:rPr>
        <w:t xml:space="preserve"> from:</w:t>
      </w:r>
      <w:r w:rsidRPr="00415A38">
        <w:rPr>
          <w:rFonts w:ascii="Arial" w:eastAsia="Times New Roman" w:hAnsi="Arial" w:cs="Arial"/>
          <w:sz w:val="16"/>
          <w:szCs w:val="16"/>
        </w:rPr>
        <w:t xml:space="preserve"> </w:t>
      </w:r>
      <w:hyperlink r:id="rId147" w:history="1">
        <w:r>
          <w:rPr>
            <w:rFonts w:ascii="Arial" w:eastAsia="Times New Roman" w:hAnsi="Arial" w:cs="Arial"/>
            <w:color w:val="0563C1" w:themeColor="hyperlink"/>
            <w:sz w:val="16"/>
            <w:szCs w:val="16"/>
            <w:u w:val="single"/>
          </w:rPr>
          <w:t>URL</w:t>
        </w:r>
      </w:hyperlink>
    </w:p>
  </w:footnote>
  <w:footnote w:id="164">
    <w:p w14:paraId="5CA47D0C" w14:textId="13BCADD7" w:rsidR="00B208C1" w:rsidRPr="00415A38" w:rsidRDefault="00B208C1" w:rsidP="00045C74">
      <w:pPr>
        <w:tabs>
          <w:tab w:val="left" w:pos="357"/>
        </w:tabs>
        <w:spacing w:after="40" w:line="240" w:lineRule="auto"/>
        <w:ind w:left="357" w:hanging="357"/>
        <w:jc w:val="both"/>
        <w:rPr>
          <w:rFonts w:ascii="Arial" w:eastAsia="Times New Roman" w:hAnsi="Arial" w:cs="Arial"/>
          <w:sz w:val="16"/>
          <w:szCs w:val="16"/>
          <w:u w:val="single"/>
        </w:rPr>
      </w:pPr>
      <w:r w:rsidRPr="00D052C4">
        <w:rPr>
          <w:rStyle w:val="FootnoteReference"/>
          <w:rFonts w:ascii="Arial" w:hAnsi="Arial" w:cs="Arial"/>
          <w:sz w:val="18"/>
          <w:szCs w:val="18"/>
        </w:rPr>
        <w:footnoteRef/>
      </w:r>
      <w:r w:rsidRPr="00415A38">
        <w:rPr>
          <w:rFonts w:ascii="Arial" w:hAnsi="Arial" w:cs="Arial"/>
          <w:sz w:val="16"/>
          <w:szCs w:val="16"/>
        </w:rPr>
        <w:t xml:space="preserve"> </w:t>
      </w:r>
      <w:r>
        <w:rPr>
          <w:rFonts w:ascii="Arial" w:hAnsi="Arial" w:cs="Arial"/>
          <w:sz w:val="16"/>
          <w:szCs w:val="16"/>
        </w:rPr>
        <w:tab/>
      </w:r>
      <w:r w:rsidRPr="00415A38">
        <w:rPr>
          <w:rFonts w:ascii="Arial" w:eastAsia="Times New Roman" w:hAnsi="Arial" w:cs="Arial"/>
          <w:sz w:val="16"/>
          <w:szCs w:val="16"/>
        </w:rPr>
        <w:t>Australian Human Rights Commission</w:t>
      </w:r>
      <w:r>
        <w:rPr>
          <w:rFonts w:ascii="Arial" w:eastAsia="Times New Roman" w:hAnsi="Arial" w:cs="Arial"/>
          <w:sz w:val="16"/>
          <w:szCs w:val="16"/>
        </w:rPr>
        <w:t xml:space="preserve"> (2019) </w:t>
      </w:r>
      <w:r w:rsidRPr="00415A38">
        <w:rPr>
          <w:rFonts w:ascii="Arial" w:eastAsia="Times New Roman" w:hAnsi="Arial" w:cs="Arial"/>
          <w:sz w:val="16"/>
          <w:szCs w:val="16"/>
        </w:rPr>
        <w:t>Everyone’s business: Survey on sexual harassment of members of the Shop, Distributive and Allied Employees’ Association</w:t>
      </w:r>
      <w:r>
        <w:rPr>
          <w:rFonts w:ascii="Arial" w:eastAsia="Times New Roman" w:hAnsi="Arial" w:cs="Arial"/>
          <w:sz w:val="16"/>
          <w:szCs w:val="16"/>
        </w:rPr>
        <w:t>.</w:t>
      </w:r>
      <w:r w:rsidRPr="00415A38">
        <w:rPr>
          <w:rFonts w:ascii="Arial" w:eastAsia="Times New Roman" w:hAnsi="Arial" w:cs="Arial"/>
          <w:sz w:val="16"/>
          <w:szCs w:val="16"/>
        </w:rPr>
        <w:t xml:space="preserve"> AHRC, Sydney. Available</w:t>
      </w:r>
      <w:r>
        <w:rPr>
          <w:rFonts w:ascii="Arial" w:eastAsia="Times New Roman" w:hAnsi="Arial" w:cs="Arial"/>
          <w:sz w:val="16"/>
          <w:szCs w:val="16"/>
        </w:rPr>
        <w:t xml:space="preserve"> from:</w:t>
      </w:r>
      <w:r w:rsidRPr="00415A38">
        <w:rPr>
          <w:rFonts w:ascii="Arial" w:eastAsia="Times New Roman" w:hAnsi="Arial" w:cs="Arial"/>
          <w:sz w:val="16"/>
          <w:szCs w:val="16"/>
        </w:rPr>
        <w:t xml:space="preserve"> </w:t>
      </w:r>
      <w:hyperlink r:id="rId148" w:history="1">
        <w:r>
          <w:rPr>
            <w:rFonts w:ascii="Arial" w:eastAsia="Times New Roman" w:hAnsi="Arial" w:cs="Arial"/>
            <w:color w:val="0563C1" w:themeColor="hyperlink"/>
            <w:sz w:val="16"/>
            <w:szCs w:val="16"/>
            <w:u w:val="single"/>
          </w:rPr>
          <w:t>URL</w:t>
        </w:r>
      </w:hyperlink>
    </w:p>
  </w:footnote>
  <w:footnote w:id="165">
    <w:p w14:paraId="0F7BCEE5" w14:textId="11ABA344" w:rsidR="00B208C1" w:rsidRPr="00415A38" w:rsidRDefault="00B208C1" w:rsidP="00045C74">
      <w:pPr>
        <w:tabs>
          <w:tab w:val="left" w:pos="357"/>
        </w:tabs>
        <w:spacing w:after="40" w:line="240" w:lineRule="auto"/>
        <w:ind w:left="357" w:hanging="357"/>
        <w:jc w:val="both"/>
        <w:rPr>
          <w:rFonts w:ascii="Arial" w:eastAsia="Times New Roman" w:hAnsi="Arial" w:cs="Arial"/>
          <w:sz w:val="16"/>
          <w:szCs w:val="16"/>
          <w:u w:val="single"/>
        </w:rPr>
      </w:pPr>
      <w:r w:rsidRPr="00D052C4">
        <w:rPr>
          <w:rStyle w:val="FootnoteReference"/>
          <w:rFonts w:ascii="Arial" w:hAnsi="Arial" w:cs="Arial"/>
          <w:sz w:val="18"/>
          <w:szCs w:val="18"/>
        </w:rPr>
        <w:footnoteRef/>
      </w:r>
      <w:r w:rsidRPr="00D052C4">
        <w:rPr>
          <w:rFonts w:ascii="Arial" w:hAnsi="Arial" w:cs="Arial"/>
          <w:sz w:val="18"/>
          <w:szCs w:val="18"/>
        </w:rPr>
        <w:t xml:space="preserve"> </w:t>
      </w:r>
      <w:r>
        <w:rPr>
          <w:rFonts w:ascii="Arial" w:hAnsi="Arial" w:cs="Arial"/>
          <w:sz w:val="16"/>
          <w:szCs w:val="16"/>
        </w:rPr>
        <w:tab/>
        <w:t xml:space="preserve">ibid. Available </w:t>
      </w:r>
      <w:r>
        <w:rPr>
          <w:rFonts w:ascii="Arial" w:eastAsia="Times New Roman" w:hAnsi="Arial" w:cs="Arial"/>
          <w:sz w:val="16"/>
          <w:szCs w:val="16"/>
        </w:rPr>
        <w:t>from:</w:t>
      </w:r>
      <w:r w:rsidRPr="00415A38">
        <w:rPr>
          <w:rFonts w:ascii="Arial" w:eastAsia="Times New Roman" w:hAnsi="Arial" w:cs="Arial"/>
          <w:sz w:val="16"/>
          <w:szCs w:val="16"/>
        </w:rPr>
        <w:t xml:space="preserve"> </w:t>
      </w:r>
      <w:hyperlink r:id="rId149" w:history="1">
        <w:r>
          <w:rPr>
            <w:rFonts w:ascii="Arial" w:eastAsia="Times New Roman" w:hAnsi="Arial" w:cs="Arial"/>
            <w:color w:val="0563C1" w:themeColor="hyperlink"/>
            <w:sz w:val="16"/>
            <w:szCs w:val="16"/>
            <w:u w:val="single"/>
          </w:rPr>
          <w:t>URL</w:t>
        </w:r>
      </w:hyperlink>
    </w:p>
  </w:footnote>
  <w:footnote w:id="166">
    <w:p w14:paraId="4007E4B7" w14:textId="04BFD047" w:rsidR="00B208C1" w:rsidRPr="00B45CB1" w:rsidRDefault="00B208C1" w:rsidP="00045C74">
      <w:pPr>
        <w:tabs>
          <w:tab w:val="left" w:pos="357"/>
        </w:tabs>
        <w:spacing w:after="40" w:line="240" w:lineRule="auto"/>
        <w:ind w:left="357" w:hanging="357"/>
        <w:jc w:val="both"/>
        <w:rPr>
          <w:rFonts w:ascii="Arial" w:eastAsia="Times New Roman" w:hAnsi="Arial" w:cs="Arial"/>
          <w:sz w:val="16"/>
          <w:szCs w:val="16"/>
          <w:u w:val="single"/>
        </w:rPr>
      </w:pPr>
      <w:r w:rsidRPr="00073099">
        <w:rPr>
          <w:rStyle w:val="FootnoteReference"/>
          <w:rFonts w:ascii="Arial" w:hAnsi="Arial" w:cs="Arial"/>
          <w:sz w:val="18"/>
          <w:szCs w:val="18"/>
        </w:rPr>
        <w:footnoteRef/>
      </w:r>
      <w:r w:rsidRPr="00073099">
        <w:rPr>
          <w:rFonts w:ascii="Arial" w:hAnsi="Arial" w:cs="Arial"/>
          <w:sz w:val="18"/>
          <w:szCs w:val="18"/>
        </w:rPr>
        <w:t xml:space="preserve"> </w:t>
      </w:r>
      <w:r>
        <w:rPr>
          <w:rFonts w:ascii="Arial" w:hAnsi="Arial" w:cs="Arial"/>
          <w:sz w:val="16"/>
          <w:szCs w:val="16"/>
        </w:rPr>
        <w:tab/>
      </w:r>
      <w:r w:rsidRPr="00BC596F">
        <w:rPr>
          <w:rFonts w:ascii="Arial" w:eastAsia="Times New Roman" w:hAnsi="Arial" w:cs="Arial"/>
          <w:sz w:val="16"/>
          <w:szCs w:val="16"/>
        </w:rPr>
        <w:t xml:space="preserve">Waling A, Fraser S, Fisher, C (2020) Young </w:t>
      </w:r>
      <w:r>
        <w:rPr>
          <w:rFonts w:ascii="Arial" w:eastAsia="Times New Roman" w:hAnsi="Arial" w:cs="Arial"/>
          <w:sz w:val="16"/>
          <w:szCs w:val="16"/>
        </w:rPr>
        <w:t>p</w:t>
      </w:r>
      <w:r w:rsidRPr="00BC596F">
        <w:rPr>
          <w:rFonts w:ascii="Arial" w:eastAsia="Times New Roman" w:hAnsi="Arial" w:cs="Arial"/>
          <w:sz w:val="16"/>
          <w:szCs w:val="16"/>
        </w:rPr>
        <w:t xml:space="preserve">eople and </w:t>
      </w:r>
      <w:r>
        <w:rPr>
          <w:rFonts w:ascii="Arial" w:eastAsia="Times New Roman" w:hAnsi="Arial" w:cs="Arial"/>
          <w:sz w:val="16"/>
          <w:szCs w:val="16"/>
        </w:rPr>
        <w:t>s</w:t>
      </w:r>
      <w:r w:rsidRPr="00BC596F">
        <w:rPr>
          <w:rFonts w:ascii="Arial" w:eastAsia="Times New Roman" w:hAnsi="Arial" w:cs="Arial"/>
          <w:sz w:val="16"/>
          <w:szCs w:val="16"/>
        </w:rPr>
        <w:t xml:space="preserve">ources of </w:t>
      </w:r>
      <w:r>
        <w:rPr>
          <w:rFonts w:ascii="Arial" w:eastAsia="Times New Roman" w:hAnsi="Arial" w:cs="Arial"/>
          <w:sz w:val="16"/>
          <w:szCs w:val="16"/>
        </w:rPr>
        <w:t>s</w:t>
      </w:r>
      <w:r w:rsidRPr="00BC596F">
        <w:rPr>
          <w:rFonts w:ascii="Arial" w:eastAsia="Times New Roman" w:hAnsi="Arial" w:cs="Arial"/>
          <w:sz w:val="16"/>
          <w:szCs w:val="16"/>
        </w:rPr>
        <w:t xml:space="preserve">exual </w:t>
      </w:r>
      <w:r>
        <w:rPr>
          <w:rFonts w:ascii="Arial" w:eastAsia="Times New Roman" w:hAnsi="Arial" w:cs="Arial"/>
          <w:sz w:val="16"/>
          <w:szCs w:val="16"/>
        </w:rPr>
        <w:t>h</w:t>
      </w:r>
      <w:r w:rsidRPr="00BC596F">
        <w:rPr>
          <w:rFonts w:ascii="Arial" w:eastAsia="Times New Roman" w:hAnsi="Arial" w:cs="Arial"/>
          <w:sz w:val="16"/>
          <w:szCs w:val="16"/>
        </w:rPr>
        <w:t xml:space="preserve">ealth </w:t>
      </w:r>
      <w:r>
        <w:rPr>
          <w:rFonts w:ascii="Arial" w:eastAsia="Times New Roman" w:hAnsi="Arial" w:cs="Arial"/>
          <w:sz w:val="16"/>
          <w:szCs w:val="16"/>
        </w:rPr>
        <w:t>i</w:t>
      </w:r>
      <w:r w:rsidRPr="00BC596F">
        <w:rPr>
          <w:rFonts w:ascii="Arial" w:eastAsia="Times New Roman" w:hAnsi="Arial" w:cs="Arial"/>
          <w:sz w:val="16"/>
          <w:szCs w:val="16"/>
        </w:rPr>
        <w:t xml:space="preserve">nformation. </w:t>
      </w:r>
      <w:r>
        <w:rPr>
          <w:rFonts w:ascii="Arial" w:eastAsia="Times New Roman" w:hAnsi="Arial" w:cs="Arial"/>
          <w:sz w:val="16"/>
          <w:szCs w:val="16"/>
        </w:rPr>
        <w:t xml:space="preserve">LaTrobe University. </w:t>
      </w:r>
      <w:r w:rsidRPr="00BC596F">
        <w:rPr>
          <w:rFonts w:ascii="Arial" w:eastAsia="Times New Roman" w:hAnsi="Arial" w:cs="Arial"/>
          <w:sz w:val="16"/>
          <w:szCs w:val="16"/>
        </w:rPr>
        <w:t xml:space="preserve">Australian Research Centre in Sex, Health and Society, </w:t>
      </w:r>
      <w:r>
        <w:rPr>
          <w:rFonts w:ascii="Arial" w:eastAsia="Times New Roman" w:hAnsi="Arial" w:cs="Arial"/>
          <w:sz w:val="16"/>
          <w:szCs w:val="16"/>
        </w:rPr>
        <w:t>Bundoora, Vic., p</w:t>
      </w:r>
      <w:r w:rsidRPr="00BC596F">
        <w:rPr>
          <w:rFonts w:ascii="Arial" w:eastAsia="Times New Roman" w:hAnsi="Arial" w:cs="Arial"/>
          <w:sz w:val="16"/>
          <w:szCs w:val="16"/>
        </w:rPr>
        <w:t xml:space="preserve">.16. </w:t>
      </w:r>
      <w:r>
        <w:rPr>
          <w:rFonts w:ascii="Arial" w:eastAsia="Times New Roman" w:hAnsi="Arial" w:cs="Arial"/>
          <w:sz w:val="16"/>
          <w:szCs w:val="16"/>
        </w:rPr>
        <w:t xml:space="preserve">- </w:t>
      </w:r>
      <w:r w:rsidRPr="00BC596F">
        <w:rPr>
          <w:rFonts w:ascii="Arial" w:eastAsia="Times New Roman" w:hAnsi="Arial" w:cs="Arial"/>
          <w:sz w:val="16"/>
          <w:szCs w:val="16"/>
        </w:rPr>
        <w:t>(</w:t>
      </w:r>
      <w:r w:rsidRPr="00073099">
        <w:rPr>
          <w:rFonts w:ascii="Arial" w:eastAsia="Times New Roman" w:hAnsi="Arial" w:cs="Arial"/>
          <w:i/>
          <w:iCs/>
          <w:sz w:val="16"/>
          <w:szCs w:val="16"/>
        </w:rPr>
        <w:t>ARCSHS Monograph Series</w:t>
      </w:r>
      <w:r>
        <w:rPr>
          <w:rFonts w:ascii="Arial" w:eastAsia="Times New Roman" w:hAnsi="Arial" w:cs="Arial"/>
          <w:i/>
          <w:iCs/>
          <w:sz w:val="16"/>
          <w:szCs w:val="16"/>
        </w:rPr>
        <w:t>;</w:t>
      </w:r>
      <w:r w:rsidRPr="00BC596F">
        <w:rPr>
          <w:rFonts w:ascii="Arial" w:eastAsia="Times New Roman" w:hAnsi="Arial" w:cs="Arial"/>
          <w:sz w:val="16"/>
          <w:szCs w:val="16"/>
        </w:rPr>
        <w:t xml:space="preserve"> </w:t>
      </w:r>
      <w:r>
        <w:rPr>
          <w:rFonts w:ascii="Arial" w:eastAsia="Times New Roman" w:hAnsi="Arial" w:cs="Arial"/>
          <w:sz w:val="16"/>
          <w:szCs w:val="16"/>
        </w:rPr>
        <w:t>n</w:t>
      </w:r>
      <w:r w:rsidRPr="00BC596F">
        <w:rPr>
          <w:rFonts w:ascii="Arial" w:eastAsia="Times New Roman" w:hAnsi="Arial" w:cs="Arial"/>
          <w:sz w:val="16"/>
          <w:szCs w:val="16"/>
        </w:rPr>
        <w:t>o. 121)</w:t>
      </w:r>
      <w:r>
        <w:rPr>
          <w:rFonts w:ascii="Arial" w:eastAsia="Times New Roman" w:hAnsi="Arial" w:cs="Arial"/>
          <w:sz w:val="16"/>
          <w:szCs w:val="16"/>
        </w:rPr>
        <w:t xml:space="preserve">. </w:t>
      </w:r>
      <w:r w:rsidRPr="00BC596F">
        <w:rPr>
          <w:rFonts w:ascii="Arial" w:eastAsia="Times New Roman" w:hAnsi="Arial" w:cs="Arial"/>
          <w:sz w:val="16"/>
          <w:szCs w:val="16"/>
        </w:rPr>
        <w:t>Available</w:t>
      </w:r>
      <w:r>
        <w:rPr>
          <w:rFonts w:ascii="Arial" w:eastAsia="Times New Roman" w:hAnsi="Arial" w:cs="Arial"/>
          <w:sz w:val="16"/>
          <w:szCs w:val="16"/>
        </w:rPr>
        <w:t xml:space="preserve"> from:</w:t>
      </w:r>
      <w:r w:rsidRPr="00BC596F">
        <w:rPr>
          <w:rFonts w:ascii="Arial" w:eastAsia="Times New Roman" w:hAnsi="Arial" w:cs="Arial"/>
          <w:sz w:val="16"/>
          <w:szCs w:val="16"/>
        </w:rPr>
        <w:t xml:space="preserve"> </w:t>
      </w:r>
      <w:hyperlink r:id="rId150" w:history="1">
        <w:r>
          <w:rPr>
            <w:rFonts w:ascii="Arial" w:eastAsia="Times New Roman" w:hAnsi="Arial" w:cs="Arial"/>
            <w:color w:val="0563C1" w:themeColor="hyperlink"/>
            <w:sz w:val="16"/>
            <w:szCs w:val="16"/>
            <w:u w:val="single"/>
          </w:rPr>
          <w:t>URL</w:t>
        </w:r>
      </w:hyperlink>
    </w:p>
  </w:footnote>
  <w:footnote w:id="167">
    <w:p w14:paraId="7306A9D2" w14:textId="0D3FAA02" w:rsidR="00B208C1" w:rsidRDefault="00B208C1" w:rsidP="00045C74">
      <w:pPr>
        <w:tabs>
          <w:tab w:val="left" w:pos="357"/>
        </w:tabs>
        <w:spacing w:after="40" w:line="240" w:lineRule="auto"/>
        <w:ind w:left="357" w:hanging="357"/>
        <w:jc w:val="both"/>
      </w:pPr>
      <w:r w:rsidRPr="00073099">
        <w:rPr>
          <w:rStyle w:val="FootnoteReference"/>
          <w:rFonts w:ascii="Arial" w:hAnsi="Arial" w:cs="Arial"/>
          <w:sz w:val="18"/>
          <w:szCs w:val="18"/>
        </w:rPr>
        <w:footnoteRef/>
      </w:r>
      <w:r>
        <w:rPr>
          <w:rFonts w:ascii="Arial" w:hAnsi="Arial" w:cs="Arial"/>
          <w:sz w:val="16"/>
          <w:szCs w:val="16"/>
        </w:rPr>
        <w:tab/>
        <w:t>F</w:t>
      </w:r>
      <w:r w:rsidRPr="00BC596F">
        <w:rPr>
          <w:rFonts w:ascii="Arial" w:hAnsi="Arial" w:cs="Arial"/>
          <w:sz w:val="16"/>
          <w:szCs w:val="16"/>
        </w:rPr>
        <w:t>lood M</w:t>
      </w:r>
      <w:r>
        <w:rPr>
          <w:rFonts w:ascii="Arial" w:hAnsi="Arial" w:cs="Arial"/>
          <w:sz w:val="16"/>
          <w:szCs w:val="16"/>
        </w:rPr>
        <w:t xml:space="preserve"> (2020) </w:t>
      </w:r>
      <w:r w:rsidRPr="00BC596F">
        <w:rPr>
          <w:rFonts w:ascii="Arial" w:hAnsi="Arial" w:cs="Arial"/>
          <w:sz w:val="16"/>
          <w:szCs w:val="16"/>
        </w:rPr>
        <w:t>Masculinities and health: attitudes towards men and masculinities in Australia</w:t>
      </w:r>
      <w:r>
        <w:rPr>
          <w:rFonts w:ascii="Arial" w:hAnsi="Arial" w:cs="Arial"/>
          <w:i/>
          <w:iCs/>
          <w:sz w:val="16"/>
          <w:szCs w:val="16"/>
        </w:rPr>
        <w:t xml:space="preserve">. </w:t>
      </w:r>
      <w:r w:rsidRPr="00BC596F">
        <w:rPr>
          <w:rFonts w:ascii="Arial" w:hAnsi="Arial" w:cs="Arial"/>
          <w:sz w:val="16"/>
          <w:szCs w:val="16"/>
        </w:rPr>
        <w:t>Victorian Health Promotion Foundation (VicHealth), Melbourne. Available</w:t>
      </w:r>
      <w:r>
        <w:rPr>
          <w:rFonts w:ascii="Arial" w:hAnsi="Arial" w:cs="Arial"/>
          <w:sz w:val="16"/>
          <w:szCs w:val="16"/>
        </w:rPr>
        <w:t xml:space="preserve"> from:</w:t>
      </w:r>
      <w:r w:rsidRPr="00BC596F">
        <w:rPr>
          <w:rFonts w:ascii="Arial" w:hAnsi="Arial" w:cs="Arial"/>
          <w:sz w:val="16"/>
          <w:szCs w:val="16"/>
        </w:rPr>
        <w:t xml:space="preserve"> </w:t>
      </w:r>
      <w:hyperlink r:id="rId151" w:history="1">
        <w:r>
          <w:rPr>
            <w:rFonts w:ascii="Arial" w:hAnsi="Arial" w:cs="Arial"/>
            <w:color w:val="0563C1" w:themeColor="hyperlink"/>
            <w:sz w:val="16"/>
            <w:szCs w:val="16"/>
            <w:u w:val="single"/>
          </w:rPr>
          <w:t>URL</w:t>
        </w:r>
      </w:hyperlink>
    </w:p>
  </w:footnote>
  <w:footnote w:id="168">
    <w:p w14:paraId="68CC83EF" w14:textId="220D349C" w:rsidR="00B208C1" w:rsidRPr="004514A7" w:rsidRDefault="00B208C1" w:rsidP="00045C74">
      <w:pPr>
        <w:pStyle w:val="FootnoteText"/>
        <w:tabs>
          <w:tab w:val="left" w:pos="357"/>
        </w:tabs>
        <w:spacing w:after="40"/>
        <w:ind w:left="357" w:hanging="357"/>
        <w:jc w:val="both"/>
        <w:rPr>
          <w:rFonts w:cs="Arial"/>
          <w:sz w:val="16"/>
          <w:szCs w:val="16"/>
          <w:lang w:val="en-US"/>
        </w:rPr>
      </w:pPr>
      <w:r w:rsidRPr="0078089C">
        <w:rPr>
          <w:rStyle w:val="FootnoteReference"/>
          <w:rFonts w:cs="Arial"/>
          <w:sz w:val="18"/>
          <w:szCs w:val="18"/>
        </w:rPr>
        <w:footnoteRef/>
      </w:r>
      <w:r>
        <w:rPr>
          <w:rFonts w:cs="Arial"/>
          <w:sz w:val="16"/>
          <w:szCs w:val="16"/>
        </w:rPr>
        <w:tab/>
        <w:t>G</w:t>
      </w:r>
      <w:r w:rsidRPr="004514A7">
        <w:rPr>
          <w:rFonts w:cs="Arial"/>
          <w:sz w:val="16"/>
          <w:szCs w:val="16"/>
        </w:rPr>
        <w:t>race KT, Anderson JC</w:t>
      </w:r>
      <w:r>
        <w:rPr>
          <w:rFonts w:cs="Arial"/>
          <w:sz w:val="16"/>
          <w:szCs w:val="16"/>
        </w:rPr>
        <w:t xml:space="preserve"> (2018</w:t>
      </w:r>
      <w:r w:rsidRPr="004514A7">
        <w:rPr>
          <w:rFonts w:cs="Arial"/>
          <w:i/>
          <w:iCs/>
          <w:sz w:val="16"/>
          <w:szCs w:val="16"/>
        </w:rPr>
        <w:t>) Reproductive coercion: a systemic review</w:t>
      </w:r>
      <w:r>
        <w:rPr>
          <w:rFonts w:cs="Arial"/>
          <w:i/>
          <w:iCs/>
          <w:sz w:val="16"/>
          <w:szCs w:val="16"/>
        </w:rPr>
        <w:t>.</w:t>
      </w:r>
      <w:r w:rsidRPr="004514A7">
        <w:rPr>
          <w:rFonts w:cs="Arial"/>
          <w:sz w:val="16"/>
          <w:szCs w:val="16"/>
        </w:rPr>
        <w:t xml:space="preserve"> </w:t>
      </w:r>
      <w:r w:rsidRPr="004514A7">
        <w:rPr>
          <w:rFonts w:cs="Arial"/>
          <w:i/>
          <w:iCs/>
          <w:sz w:val="16"/>
          <w:szCs w:val="16"/>
        </w:rPr>
        <w:t>Trauma, Violence and Abuse</w:t>
      </w:r>
      <w:r>
        <w:rPr>
          <w:rFonts w:cs="Arial"/>
          <w:sz w:val="16"/>
          <w:szCs w:val="16"/>
        </w:rPr>
        <w:t xml:space="preserve">. </w:t>
      </w:r>
      <w:r w:rsidRPr="004514A7">
        <w:rPr>
          <w:rFonts w:cs="Arial"/>
          <w:sz w:val="16"/>
          <w:szCs w:val="16"/>
        </w:rPr>
        <w:t>19(4)</w:t>
      </w:r>
      <w:r>
        <w:rPr>
          <w:rFonts w:cs="Arial"/>
          <w:sz w:val="16"/>
          <w:szCs w:val="16"/>
        </w:rPr>
        <w:t>:</w:t>
      </w:r>
      <w:r w:rsidRPr="004514A7">
        <w:rPr>
          <w:rFonts w:cs="Arial"/>
          <w:sz w:val="16"/>
          <w:szCs w:val="16"/>
        </w:rPr>
        <w:t>371-390</w:t>
      </w:r>
      <w:r>
        <w:rPr>
          <w:rFonts w:cs="Arial"/>
          <w:sz w:val="16"/>
          <w:szCs w:val="16"/>
        </w:rPr>
        <w:t xml:space="preserve"> -</w:t>
      </w:r>
      <w:r w:rsidRPr="004514A7">
        <w:rPr>
          <w:rFonts w:cs="Arial"/>
          <w:sz w:val="16"/>
          <w:szCs w:val="16"/>
        </w:rPr>
        <w:t xml:space="preserve"> cited in: </w:t>
      </w:r>
      <w:r w:rsidRPr="00D60166">
        <w:rPr>
          <w:rFonts w:cs="Arial"/>
          <w:sz w:val="16"/>
          <w:szCs w:val="16"/>
        </w:rPr>
        <w:t>Marie Stopes Australia</w:t>
      </w:r>
      <w:r>
        <w:rPr>
          <w:rFonts w:cs="Arial"/>
          <w:sz w:val="16"/>
          <w:szCs w:val="16"/>
        </w:rPr>
        <w:t xml:space="preserve"> (</w:t>
      </w:r>
      <w:r w:rsidRPr="00D60166">
        <w:rPr>
          <w:rFonts w:cs="Arial"/>
          <w:sz w:val="16"/>
          <w:szCs w:val="16"/>
        </w:rPr>
        <w:t>2018</w:t>
      </w:r>
      <w:r>
        <w:rPr>
          <w:rFonts w:cs="Arial"/>
          <w:sz w:val="16"/>
          <w:szCs w:val="16"/>
        </w:rPr>
        <w:t xml:space="preserve">) </w:t>
      </w:r>
      <w:r w:rsidRPr="00610015">
        <w:rPr>
          <w:rFonts w:cs="Arial"/>
          <w:sz w:val="16"/>
          <w:szCs w:val="16"/>
        </w:rPr>
        <w:t>Hidden forces: shining a light on reproductive coercion: White Paper</w:t>
      </w:r>
      <w:r w:rsidRPr="00D60166">
        <w:rPr>
          <w:rFonts w:cs="Arial"/>
          <w:sz w:val="16"/>
          <w:szCs w:val="16"/>
        </w:rPr>
        <w:t>. Marie Stopes Australia, Melbourne</w:t>
      </w:r>
      <w:r>
        <w:rPr>
          <w:rFonts w:cs="Arial"/>
          <w:sz w:val="16"/>
          <w:szCs w:val="16"/>
        </w:rPr>
        <w:t>, p.7</w:t>
      </w:r>
      <w:r w:rsidRPr="00D60166">
        <w:rPr>
          <w:rFonts w:cs="Arial"/>
          <w:sz w:val="16"/>
          <w:szCs w:val="16"/>
        </w:rPr>
        <w:t>. Available</w:t>
      </w:r>
      <w:r>
        <w:rPr>
          <w:rFonts w:cs="Arial"/>
          <w:sz w:val="16"/>
          <w:szCs w:val="16"/>
        </w:rPr>
        <w:t xml:space="preserve"> from:</w:t>
      </w:r>
      <w:r w:rsidRPr="00D60166">
        <w:rPr>
          <w:rFonts w:cs="Arial"/>
          <w:sz w:val="16"/>
          <w:szCs w:val="16"/>
        </w:rPr>
        <w:t xml:space="preserve"> </w:t>
      </w:r>
      <w:hyperlink r:id="rId152" w:history="1">
        <w:r>
          <w:rPr>
            <w:rStyle w:val="Hyperlink"/>
            <w:rFonts w:cs="Arial"/>
            <w:sz w:val="16"/>
            <w:szCs w:val="16"/>
          </w:rPr>
          <w:t>URL</w:t>
        </w:r>
      </w:hyperlink>
    </w:p>
  </w:footnote>
  <w:footnote w:id="169">
    <w:p w14:paraId="38C9B20B" w14:textId="0E1A5E07" w:rsidR="00B208C1" w:rsidRPr="004514A7" w:rsidRDefault="00B208C1" w:rsidP="00045C74">
      <w:pPr>
        <w:pStyle w:val="FootnoteText"/>
        <w:tabs>
          <w:tab w:val="left" w:pos="357"/>
        </w:tabs>
        <w:spacing w:after="40"/>
        <w:ind w:left="357" w:hanging="357"/>
        <w:jc w:val="both"/>
        <w:rPr>
          <w:rFonts w:cs="Arial"/>
          <w:sz w:val="16"/>
          <w:szCs w:val="16"/>
          <w:lang w:val="en-US"/>
        </w:rPr>
      </w:pPr>
      <w:r w:rsidRPr="0078089C">
        <w:rPr>
          <w:rStyle w:val="FootnoteReference"/>
          <w:rFonts w:cs="Arial"/>
          <w:sz w:val="18"/>
          <w:szCs w:val="18"/>
        </w:rPr>
        <w:footnoteRef/>
      </w:r>
      <w:r w:rsidRPr="004514A7">
        <w:rPr>
          <w:rFonts w:cs="Arial"/>
          <w:sz w:val="16"/>
          <w:szCs w:val="16"/>
        </w:rPr>
        <w:t xml:space="preserve"> </w:t>
      </w:r>
      <w:r>
        <w:rPr>
          <w:rFonts w:cs="Arial"/>
          <w:sz w:val="16"/>
          <w:szCs w:val="16"/>
        </w:rPr>
        <w:tab/>
      </w:r>
      <w:r w:rsidRPr="004514A7">
        <w:rPr>
          <w:rFonts w:cs="Arial"/>
          <w:color w:val="000000"/>
          <w:sz w:val="16"/>
          <w:szCs w:val="16"/>
        </w:rPr>
        <w:t>Tarzia L, Wellington M, Marino J, Hegarty</w:t>
      </w:r>
      <w:r>
        <w:rPr>
          <w:rFonts w:cs="Arial"/>
          <w:color w:val="000000"/>
          <w:sz w:val="16"/>
          <w:szCs w:val="16"/>
        </w:rPr>
        <w:t xml:space="preserve"> </w:t>
      </w:r>
      <w:r w:rsidRPr="004514A7">
        <w:rPr>
          <w:rFonts w:cs="Arial"/>
          <w:color w:val="000000"/>
          <w:sz w:val="16"/>
          <w:szCs w:val="16"/>
        </w:rPr>
        <w:t>K</w:t>
      </w:r>
      <w:r>
        <w:rPr>
          <w:rFonts w:cs="Arial"/>
          <w:color w:val="000000"/>
          <w:sz w:val="16"/>
          <w:szCs w:val="16"/>
        </w:rPr>
        <w:t xml:space="preserve"> (2018) </w:t>
      </w:r>
      <w:r w:rsidRPr="00E8348D">
        <w:rPr>
          <w:rFonts w:cs="Arial"/>
          <w:color w:val="000000"/>
          <w:sz w:val="16"/>
          <w:szCs w:val="16"/>
        </w:rPr>
        <w:t xml:space="preserve">A </w:t>
      </w:r>
      <w:r>
        <w:rPr>
          <w:rFonts w:cs="Arial"/>
          <w:color w:val="000000"/>
          <w:sz w:val="16"/>
          <w:szCs w:val="16"/>
        </w:rPr>
        <w:t>h</w:t>
      </w:r>
      <w:r w:rsidRPr="00E8348D">
        <w:rPr>
          <w:rFonts w:cs="Arial"/>
          <w:color w:val="000000"/>
          <w:sz w:val="16"/>
          <w:szCs w:val="16"/>
        </w:rPr>
        <w:t xml:space="preserve">uge, </w:t>
      </w:r>
      <w:r>
        <w:rPr>
          <w:rFonts w:cs="Arial"/>
          <w:color w:val="000000"/>
          <w:sz w:val="16"/>
          <w:szCs w:val="16"/>
        </w:rPr>
        <w:t>h</w:t>
      </w:r>
      <w:r w:rsidRPr="00E8348D">
        <w:rPr>
          <w:rFonts w:cs="Arial"/>
          <w:color w:val="000000"/>
          <w:sz w:val="16"/>
          <w:szCs w:val="16"/>
        </w:rPr>
        <w:t xml:space="preserve">idden </w:t>
      </w:r>
      <w:r>
        <w:rPr>
          <w:rFonts w:cs="Arial"/>
          <w:color w:val="000000"/>
          <w:sz w:val="16"/>
          <w:szCs w:val="16"/>
        </w:rPr>
        <w:t>p</w:t>
      </w:r>
      <w:r w:rsidRPr="00E8348D">
        <w:rPr>
          <w:rFonts w:cs="Arial"/>
          <w:color w:val="000000"/>
          <w:sz w:val="16"/>
          <w:szCs w:val="16"/>
        </w:rPr>
        <w:t xml:space="preserve">roblem: Australian </w:t>
      </w:r>
      <w:r>
        <w:rPr>
          <w:rFonts w:cs="Arial"/>
          <w:color w:val="000000"/>
          <w:sz w:val="16"/>
          <w:szCs w:val="16"/>
        </w:rPr>
        <w:t>h</w:t>
      </w:r>
      <w:r w:rsidRPr="00E8348D">
        <w:rPr>
          <w:rFonts w:cs="Arial"/>
          <w:color w:val="000000"/>
          <w:sz w:val="16"/>
          <w:szCs w:val="16"/>
        </w:rPr>
        <w:t xml:space="preserve">ealth </w:t>
      </w:r>
      <w:r>
        <w:rPr>
          <w:rFonts w:cs="Arial"/>
          <w:color w:val="000000"/>
          <w:sz w:val="16"/>
          <w:szCs w:val="16"/>
        </w:rPr>
        <w:t>p</w:t>
      </w:r>
      <w:r w:rsidRPr="00E8348D">
        <w:rPr>
          <w:rFonts w:cs="Arial"/>
          <w:color w:val="000000"/>
          <w:sz w:val="16"/>
          <w:szCs w:val="16"/>
        </w:rPr>
        <w:t xml:space="preserve">ractitioners’ </w:t>
      </w:r>
      <w:r>
        <w:rPr>
          <w:rFonts w:cs="Arial"/>
          <w:color w:val="000000"/>
          <w:sz w:val="16"/>
          <w:szCs w:val="16"/>
        </w:rPr>
        <w:t>v</w:t>
      </w:r>
      <w:r w:rsidRPr="00E8348D">
        <w:rPr>
          <w:rFonts w:cs="Arial"/>
          <w:color w:val="000000"/>
          <w:sz w:val="16"/>
          <w:szCs w:val="16"/>
        </w:rPr>
        <w:t xml:space="preserve">iews and </w:t>
      </w:r>
      <w:r>
        <w:rPr>
          <w:rFonts w:cs="Arial"/>
          <w:color w:val="000000"/>
          <w:sz w:val="16"/>
          <w:szCs w:val="16"/>
        </w:rPr>
        <w:t>u</w:t>
      </w:r>
      <w:r w:rsidRPr="00E8348D">
        <w:rPr>
          <w:rFonts w:cs="Arial"/>
          <w:color w:val="000000"/>
          <w:sz w:val="16"/>
          <w:szCs w:val="16"/>
        </w:rPr>
        <w:t xml:space="preserve">nderstandings of </w:t>
      </w:r>
      <w:r>
        <w:rPr>
          <w:rFonts w:cs="Arial"/>
          <w:color w:val="000000"/>
          <w:sz w:val="16"/>
          <w:szCs w:val="16"/>
        </w:rPr>
        <w:t>r</w:t>
      </w:r>
      <w:r w:rsidRPr="00E8348D">
        <w:rPr>
          <w:rFonts w:cs="Arial"/>
          <w:color w:val="000000"/>
          <w:sz w:val="16"/>
          <w:szCs w:val="16"/>
        </w:rPr>
        <w:t>eproductive coercion</w:t>
      </w:r>
      <w:r>
        <w:rPr>
          <w:rFonts w:cs="Arial"/>
          <w:i/>
          <w:iCs/>
          <w:color w:val="000000"/>
          <w:sz w:val="16"/>
          <w:szCs w:val="16"/>
        </w:rPr>
        <w:t xml:space="preserve">. </w:t>
      </w:r>
      <w:r w:rsidRPr="00E8348D">
        <w:rPr>
          <w:rFonts w:cs="Arial"/>
          <w:i/>
          <w:iCs/>
          <w:color w:val="000000"/>
          <w:sz w:val="16"/>
          <w:szCs w:val="16"/>
        </w:rPr>
        <w:t>Qualitative Health Research</w:t>
      </w:r>
      <w:r>
        <w:rPr>
          <w:rFonts w:cs="Arial"/>
          <w:color w:val="000000"/>
          <w:sz w:val="16"/>
          <w:szCs w:val="16"/>
        </w:rPr>
        <w:t>. 29(10):1395-1407.</w:t>
      </w:r>
    </w:p>
  </w:footnote>
  <w:footnote w:id="170">
    <w:p w14:paraId="1CA74688" w14:textId="4A44DA70" w:rsidR="00B208C1" w:rsidRPr="0078089C" w:rsidRDefault="00B208C1" w:rsidP="00045C74">
      <w:pPr>
        <w:pStyle w:val="Default"/>
        <w:tabs>
          <w:tab w:val="left" w:pos="357"/>
        </w:tabs>
        <w:spacing w:after="40"/>
        <w:ind w:left="357" w:hanging="357"/>
        <w:jc w:val="both"/>
        <w:rPr>
          <w:rStyle w:val="Hyperlink"/>
          <w:rFonts w:ascii="Arial" w:hAnsi="Arial" w:cs="Arial"/>
          <w:color w:val="auto"/>
          <w:sz w:val="16"/>
          <w:szCs w:val="16"/>
        </w:rPr>
      </w:pPr>
      <w:r w:rsidRPr="0078089C">
        <w:rPr>
          <w:rStyle w:val="FootnoteReference"/>
          <w:rFonts w:ascii="Arial" w:hAnsi="Arial" w:cs="Arial"/>
          <w:sz w:val="18"/>
          <w:szCs w:val="18"/>
        </w:rPr>
        <w:footnoteRef/>
      </w:r>
      <w:r>
        <w:rPr>
          <w:rFonts w:ascii="Arial" w:hAnsi="Arial" w:cs="Arial"/>
          <w:color w:val="auto"/>
          <w:sz w:val="16"/>
          <w:szCs w:val="16"/>
        </w:rPr>
        <w:tab/>
        <w:t>C</w:t>
      </w:r>
      <w:r w:rsidRPr="004514A7">
        <w:rPr>
          <w:rFonts w:ascii="Arial" w:hAnsi="Arial" w:cs="Arial"/>
          <w:color w:val="auto"/>
          <w:sz w:val="16"/>
          <w:szCs w:val="16"/>
        </w:rPr>
        <w:t>ampo M</w:t>
      </w:r>
      <w:r>
        <w:rPr>
          <w:rFonts w:ascii="Arial" w:hAnsi="Arial" w:cs="Arial"/>
          <w:color w:val="auto"/>
          <w:sz w:val="16"/>
          <w:szCs w:val="16"/>
        </w:rPr>
        <w:t xml:space="preserve"> (2015) </w:t>
      </w:r>
      <w:r w:rsidRPr="0078089C">
        <w:rPr>
          <w:rFonts w:ascii="Arial" w:hAnsi="Arial" w:cs="Arial"/>
          <w:color w:val="auto"/>
          <w:sz w:val="16"/>
          <w:szCs w:val="16"/>
        </w:rPr>
        <w:t>Domestic and family violence in pregnancy and early parenthood: overview and emerging interventions</w:t>
      </w:r>
      <w:r w:rsidRPr="004514A7">
        <w:rPr>
          <w:rFonts w:ascii="Arial" w:hAnsi="Arial" w:cs="Arial"/>
          <w:color w:val="auto"/>
          <w:sz w:val="16"/>
          <w:szCs w:val="16"/>
        </w:rPr>
        <w:t xml:space="preserve">. Australian Institute of Family Studies, Melbourne. Available from: </w:t>
      </w:r>
      <w:hyperlink r:id="rId153" w:history="1">
        <w:r>
          <w:rPr>
            <w:rStyle w:val="Hyperlink"/>
            <w:rFonts w:ascii="Arial" w:hAnsi="Arial" w:cs="Arial"/>
            <w:sz w:val="16"/>
            <w:szCs w:val="16"/>
          </w:rPr>
          <w:t>URL</w:t>
        </w:r>
      </w:hyperlink>
      <w:r w:rsidRPr="0078089C">
        <w:rPr>
          <w:rStyle w:val="Hyperlink"/>
          <w:rFonts w:ascii="Arial" w:hAnsi="Arial" w:cs="Arial"/>
          <w:color w:val="auto"/>
          <w:sz w:val="16"/>
          <w:szCs w:val="16"/>
          <w:u w:val="none"/>
        </w:rPr>
        <w:t xml:space="preserve"> - </w:t>
      </w:r>
      <w:r w:rsidRPr="0078089C">
        <w:rPr>
          <w:rFonts w:ascii="Arial" w:hAnsi="Arial" w:cs="Arial"/>
          <w:color w:val="auto"/>
          <w:sz w:val="16"/>
          <w:szCs w:val="16"/>
        </w:rPr>
        <w:t>cited in</w:t>
      </w:r>
      <w:r w:rsidRPr="004514A7">
        <w:rPr>
          <w:rFonts w:ascii="Arial" w:hAnsi="Arial" w:cs="Arial"/>
          <w:color w:val="auto"/>
          <w:sz w:val="16"/>
          <w:szCs w:val="16"/>
        </w:rPr>
        <w:t>: Anderson R, Webster A, Barr M</w:t>
      </w:r>
      <w:r>
        <w:rPr>
          <w:rFonts w:ascii="Arial" w:hAnsi="Arial" w:cs="Arial"/>
          <w:color w:val="auto"/>
          <w:sz w:val="16"/>
          <w:szCs w:val="16"/>
        </w:rPr>
        <w:t xml:space="preserve"> (2018) </w:t>
      </w:r>
      <w:r w:rsidRPr="0078089C">
        <w:rPr>
          <w:rFonts w:ascii="Arial" w:hAnsi="Arial" w:cs="Arial"/>
          <w:color w:val="auto"/>
          <w:sz w:val="16"/>
          <w:szCs w:val="16"/>
        </w:rPr>
        <w:t>Great expectations: how gendered expectations shape early mothering experiences</w:t>
      </w:r>
      <w:r w:rsidRPr="004514A7">
        <w:rPr>
          <w:rFonts w:ascii="Arial" w:hAnsi="Arial" w:cs="Arial"/>
          <w:color w:val="auto"/>
          <w:sz w:val="16"/>
          <w:szCs w:val="16"/>
        </w:rPr>
        <w:t>. Women's Health Victoria</w:t>
      </w:r>
      <w:r>
        <w:rPr>
          <w:rFonts w:ascii="Arial" w:hAnsi="Arial" w:cs="Arial"/>
          <w:color w:val="auto"/>
          <w:sz w:val="16"/>
          <w:szCs w:val="16"/>
        </w:rPr>
        <w:t xml:space="preserve">, </w:t>
      </w:r>
      <w:r w:rsidRPr="004514A7">
        <w:rPr>
          <w:rFonts w:ascii="Arial" w:hAnsi="Arial" w:cs="Arial"/>
          <w:color w:val="auto"/>
          <w:sz w:val="16"/>
          <w:szCs w:val="16"/>
        </w:rPr>
        <w:t>Melbourne. - (</w:t>
      </w:r>
      <w:r w:rsidRPr="0078089C">
        <w:rPr>
          <w:rFonts w:ascii="Arial" w:hAnsi="Arial" w:cs="Arial"/>
          <w:i/>
          <w:iCs/>
          <w:color w:val="auto"/>
          <w:sz w:val="16"/>
          <w:szCs w:val="16"/>
        </w:rPr>
        <w:t>Women's Health Issues Paper</w:t>
      </w:r>
      <w:r w:rsidRPr="004514A7">
        <w:rPr>
          <w:rFonts w:ascii="Arial" w:hAnsi="Arial" w:cs="Arial"/>
          <w:color w:val="auto"/>
          <w:sz w:val="16"/>
          <w:szCs w:val="16"/>
        </w:rPr>
        <w:t xml:space="preserve">; 13). Available </w:t>
      </w:r>
      <w:r>
        <w:rPr>
          <w:rFonts w:ascii="Arial" w:hAnsi="Arial" w:cs="Arial"/>
          <w:color w:val="auto"/>
          <w:sz w:val="16"/>
          <w:szCs w:val="16"/>
        </w:rPr>
        <w:t>from</w:t>
      </w:r>
      <w:r w:rsidRPr="004514A7">
        <w:rPr>
          <w:rFonts w:ascii="Arial" w:hAnsi="Arial" w:cs="Arial"/>
          <w:color w:val="auto"/>
          <w:sz w:val="16"/>
          <w:szCs w:val="16"/>
        </w:rPr>
        <w:t xml:space="preserve">: </w:t>
      </w:r>
      <w:hyperlink r:id="rId154" w:history="1">
        <w:r>
          <w:rPr>
            <w:rStyle w:val="Hyperlink"/>
            <w:rFonts w:ascii="Arial" w:hAnsi="Arial" w:cs="Arial"/>
            <w:sz w:val="16"/>
            <w:szCs w:val="16"/>
          </w:rPr>
          <w:t>URL</w:t>
        </w:r>
      </w:hyperlink>
    </w:p>
  </w:footnote>
  <w:footnote w:id="171">
    <w:p w14:paraId="58499F81" w14:textId="16C1F9F2" w:rsidR="00B208C1" w:rsidRPr="004514A7" w:rsidRDefault="00B208C1" w:rsidP="00045C74">
      <w:pPr>
        <w:pStyle w:val="FootnoteText"/>
        <w:tabs>
          <w:tab w:val="left" w:pos="357"/>
        </w:tabs>
        <w:spacing w:after="40"/>
        <w:ind w:left="357" w:hanging="357"/>
        <w:jc w:val="both"/>
        <w:rPr>
          <w:rFonts w:cs="Arial"/>
          <w:sz w:val="16"/>
          <w:szCs w:val="16"/>
          <w:lang w:val="en-US"/>
        </w:rPr>
      </w:pPr>
      <w:r w:rsidRPr="0078089C">
        <w:rPr>
          <w:rStyle w:val="FootnoteReference"/>
          <w:rFonts w:cs="Arial"/>
          <w:sz w:val="18"/>
          <w:szCs w:val="18"/>
        </w:rPr>
        <w:footnoteRef/>
      </w:r>
      <w:r w:rsidRPr="004514A7">
        <w:rPr>
          <w:rFonts w:cs="Arial"/>
          <w:sz w:val="16"/>
          <w:szCs w:val="16"/>
        </w:rPr>
        <w:t xml:space="preserve"> </w:t>
      </w:r>
      <w:r>
        <w:rPr>
          <w:rFonts w:cs="Arial"/>
          <w:sz w:val="16"/>
          <w:szCs w:val="16"/>
        </w:rPr>
        <w:tab/>
      </w:r>
      <w:r w:rsidRPr="004514A7">
        <w:rPr>
          <w:rFonts w:cs="Arial"/>
          <w:color w:val="000000"/>
          <w:sz w:val="16"/>
          <w:szCs w:val="16"/>
        </w:rPr>
        <w:t>Miller</w:t>
      </w:r>
      <w:r>
        <w:rPr>
          <w:rFonts w:cs="Arial"/>
          <w:color w:val="000000"/>
          <w:sz w:val="16"/>
          <w:szCs w:val="16"/>
        </w:rPr>
        <w:t xml:space="preserve"> E</w:t>
      </w:r>
      <w:r w:rsidRPr="004514A7">
        <w:rPr>
          <w:rFonts w:cs="Arial"/>
          <w:color w:val="000000"/>
          <w:sz w:val="16"/>
          <w:szCs w:val="16"/>
        </w:rPr>
        <w:t>, Decker</w:t>
      </w:r>
      <w:r>
        <w:rPr>
          <w:rFonts w:cs="Arial"/>
          <w:color w:val="000000"/>
          <w:sz w:val="16"/>
          <w:szCs w:val="16"/>
        </w:rPr>
        <w:t xml:space="preserve"> R</w:t>
      </w:r>
      <w:r w:rsidRPr="004514A7">
        <w:rPr>
          <w:rFonts w:cs="Arial"/>
          <w:color w:val="000000"/>
          <w:sz w:val="16"/>
          <w:szCs w:val="16"/>
        </w:rPr>
        <w:t>, McCauley</w:t>
      </w:r>
      <w:r>
        <w:rPr>
          <w:rFonts w:cs="Arial"/>
          <w:color w:val="000000"/>
          <w:sz w:val="16"/>
          <w:szCs w:val="16"/>
        </w:rPr>
        <w:t xml:space="preserve"> H</w:t>
      </w:r>
      <w:r w:rsidRPr="004514A7">
        <w:rPr>
          <w:rFonts w:cs="Arial"/>
          <w:color w:val="000000"/>
          <w:sz w:val="16"/>
          <w:szCs w:val="16"/>
        </w:rPr>
        <w:t>, Tancredi</w:t>
      </w:r>
      <w:r>
        <w:rPr>
          <w:rFonts w:cs="Arial"/>
          <w:color w:val="000000"/>
          <w:sz w:val="16"/>
          <w:szCs w:val="16"/>
        </w:rPr>
        <w:t xml:space="preserve"> D</w:t>
      </w:r>
      <w:r w:rsidRPr="004514A7">
        <w:rPr>
          <w:rFonts w:cs="Arial"/>
          <w:color w:val="000000"/>
          <w:sz w:val="16"/>
          <w:szCs w:val="16"/>
        </w:rPr>
        <w:t>, Levenson</w:t>
      </w:r>
      <w:r>
        <w:rPr>
          <w:rFonts w:cs="Arial"/>
          <w:color w:val="000000"/>
          <w:sz w:val="16"/>
          <w:szCs w:val="16"/>
        </w:rPr>
        <w:t xml:space="preserve"> R</w:t>
      </w:r>
      <w:r w:rsidRPr="004514A7">
        <w:rPr>
          <w:rFonts w:cs="Arial"/>
          <w:color w:val="000000"/>
          <w:sz w:val="16"/>
          <w:szCs w:val="16"/>
        </w:rPr>
        <w:t>, Waldman</w:t>
      </w:r>
      <w:r>
        <w:rPr>
          <w:rFonts w:cs="Arial"/>
          <w:color w:val="000000"/>
          <w:sz w:val="16"/>
          <w:szCs w:val="16"/>
        </w:rPr>
        <w:t xml:space="preserve"> J</w:t>
      </w:r>
      <w:r w:rsidRPr="004514A7">
        <w:rPr>
          <w:rFonts w:cs="Arial"/>
          <w:color w:val="000000"/>
          <w:sz w:val="16"/>
          <w:szCs w:val="16"/>
        </w:rPr>
        <w:t xml:space="preserve">, </w:t>
      </w:r>
      <w:r>
        <w:rPr>
          <w:rFonts w:cs="Arial"/>
          <w:color w:val="000000"/>
          <w:sz w:val="16"/>
          <w:szCs w:val="16"/>
        </w:rPr>
        <w:t xml:space="preserve">et al. </w:t>
      </w:r>
      <w:r w:rsidRPr="0078089C">
        <w:rPr>
          <w:rFonts w:cs="Arial"/>
          <w:color w:val="000000"/>
          <w:sz w:val="16"/>
          <w:szCs w:val="16"/>
        </w:rPr>
        <w:t>(2010) Pregnancy coercion, intimate partner violence and unintended pregnancy</w:t>
      </w:r>
      <w:r>
        <w:rPr>
          <w:rFonts w:cs="Arial"/>
          <w:color w:val="000000"/>
          <w:sz w:val="16"/>
          <w:szCs w:val="16"/>
        </w:rPr>
        <w:t>.</w:t>
      </w:r>
      <w:r w:rsidRPr="004514A7">
        <w:rPr>
          <w:rFonts w:cs="Arial"/>
          <w:color w:val="000000"/>
          <w:sz w:val="16"/>
          <w:szCs w:val="16"/>
        </w:rPr>
        <w:t xml:space="preserve"> </w:t>
      </w:r>
      <w:r w:rsidRPr="0078089C">
        <w:rPr>
          <w:rFonts w:cs="Arial"/>
          <w:i/>
          <w:iCs/>
          <w:color w:val="000000"/>
          <w:sz w:val="16"/>
          <w:szCs w:val="16"/>
        </w:rPr>
        <w:t>Contraception</w:t>
      </w:r>
      <w:r>
        <w:rPr>
          <w:rFonts w:cs="Arial"/>
          <w:color w:val="000000"/>
          <w:sz w:val="16"/>
          <w:szCs w:val="16"/>
        </w:rPr>
        <w:t xml:space="preserve">. 81(4):316-322. Available at: </w:t>
      </w:r>
      <w:hyperlink r:id="rId155" w:tgtFrame="_blank" w:history="1">
        <w:r>
          <w:rPr>
            <w:rStyle w:val="Hyperlink"/>
            <w:rFonts w:cs="Arial"/>
            <w:sz w:val="16"/>
            <w:szCs w:val="16"/>
          </w:rPr>
          <w:t>URL</w:t>
        </w:r>
      </w:hyperlink>
      <w:r w:rsidRPr="0078089C">
        <w:rPr>
          <w:rStyle w:val="Hyperlink"/>
          <w:rFonts w:cs="Arial"/>
          <w:color w:val="auto"/>
          <w:sz w:val="16"/>
          <w:szCs w:val="16"/>
          <w:u w:val="none"/>
        </w:rPr>
        <w:t xml:space="preserve"> - </w:t>
      </w:r>
      <w:r w:rsidRPr="004514A7">
        <w:rPr>
          <w:rFonts w:cs="Arial"/>
          <w:color w:val="000000"/>
          <w:sz w:val="16"/>
          <w:szCs w:val="16"/>
        </w:rPr>
        <w:t xml:space="preserve">cited on the </w:t>
      </w:r>
      <w:r>
        <w:rPr>
          <w:rFonts w:cs="Arial"/>
          <w:color w:val="000000"/>
          <w:sz w:val="16"/>
          <w:szCs w:val="16"/>
        </w:rPr>
        <w:t>C</w:t>
      </w:r>
      <w:r w:rsidRPr="004514A7">
        <w:rPr>
          <w:rFonts w:cs="Arial"/>
          <w:color w:val="000000"/>
          <w:sz w:val="16"/>
          <w:szCs w:val="16"/>
        </w:rPr>
        <w:t>hildren by Choice website</w:t>
      </w:r>
      <w:r>
        <w:rPr>
          <w:rFonts w:cs="Arial"/>
          <w:color w:val="000000"/>
          <w:sz w:val="16"/>
          <w:szCs w:val="16"/>
        </w:rPr>
        <w:t>. Accessed</w:t>
      </w:r>
      <w:r w:rsidRPr="004514A7">
        <w:rPr>
          <w:rFonts w:cs="Arial"/>
          <w:color w:val="000000"/>
          <w:sz w:val="16"/>
          <w:szCs w:val="16"/>
        </w:rPr>
        <w:t xml:space="preserve"> July 2020</w:t>
      </w:r>
      <w:r>
        <w:rPr>
          <w:rFonts w:cs="Arial"/>
          <w:color w:val="000000"/>
          <w:sz w:val="16"/>
          <w:szCs w:val="16"/>
        </w:rPr>
        <w:t xml:space="preserve">. Available at: </w:t>
      </w:r>
      <w:hyperlink r:id="rId156" w:history="1">
        <w:r>
          <w:rPr>
            <w:rStyle w:val="Hyperlink"/>
            <w:rFonts w:cs="Arial"/>
            <w:sz w:val="16"/>
            <w:szCs w:val="16"/>
          </w:rPr>
          <w:t>URL</w:t>
        </w:r>
      </w:hyperlink>
    </w:p>
  </w:footnote>
  <w:footnote w:id="172">
    <w:p w14:paraId="2E22C4DB" w14:textId="5839C4D6" w:rsidR="00B208C1" w:rsidRPr="00D60166" w:rsidRDefault="00B208C1" w:rsidP="00045C74">
      <w:pPr>
        <w:pStyle w:val="FootnoteText"/>
        <w:tabs>
          <w:tab w:val="left" w:pos="357"/>
        </w:tabs>
        <w:spacing w:after="40"/>
        <w:ind w:left="357" w:hanging="357"/>
        <w:jc w:val="both"/>
        <w:rPr>
          <w:rFonts w:cs="Arial"/>
          <w:sz w:val="16"/>
          <w:szCs w:val="16"/>
          <w:lang w:val="en-US"/>
        </w:rPr>
      </w:pPr>
      <w:r w:rsidRPr="00610015">
        <w:rPr>
          <w:rStyle w:val="FootnoteReference"/>
          <w:rFonts w:cs="Arial"/>
          <w:sz w:val="18"/>
          <w:szCs w:val="18"/>
        </w:rPr>
        <w:footnoteRef/>
      </w:r>
      <w:r w:rsidRPr="00D60166">
        <w:rPr>
          <w:rFonts w:cs="Arial"/>
          <w:sz w:val="16"/>
          <w:szCs w:val="16"/>
        </w:rPr>
        <w:t xml:space="preserve"> </w:t>
      </w:r>
      <w:r>
        <w:rPr>
          <w:rFonts w:cs="Arial"/>
          <w:sz w:val="16"/>
          <w:szCs w:val="16"/>
        </w:rPr>
        <w:tab/>
      </w:r>
      <w:r w:rsidRPr="00D60166">
        <w:rPr>
          <w:rFonts w:cs="Arial"/>
          <w:sz w:val="16"/>
          <w:szCs w:val="16"/>
        </w:rPr>
        <w:t>Marie Stopes Australia</w:t>
      </w:r>
      <w:r>
        <w:rPr>
          <w:rFonts w:cs="Arial"/>
          <w:sz w:val="16"/>
          <w:szCs w:val="16"/>
        </w:rPr>
        <w:t xml:space="preserve"> (</w:t>
      </w:r>
      <w:r w:rsidRPr="00D60166">
        <w:rPr>
          <w:rFonts w:cs="Arial"/>
          <w:sz w:val="16"/>
          <w:szCs w:val="16"/>
        </w:rPr>
        <w:t>2018</w:t>
      </w:r>
      <w:r>
        <w:rPr>
          <w:rFonts w:cs="Arial"/>
          <w:sz w:val="16"/>
          <w:szCs w:val="16"/>
        </w:rPr>
        <w:t xml:space="preserve">) </w:t>
      </w:r>
      <w:r w:rsidRPr="00610015">
        <w:rPr>
          <w:rFonts w:cs="Arial"/>
          <w:sz w:val="16"/>
          <w:szCs w:val="16"/>
        </w:rPr>
        <w:t>Hidden forces: shining a light on reproductive coercion: White Paper</w:t>
      </w:r>
      <w:r w:rsidRPr="00D60166">
        <w:rPr>
          <w:rFonts w:cs="Arial"/>
          <w:sz w:val="16"/>
          <w:szCs w:val="16"/>
        </w:rPr>
        <w:t>. Marie Stopes Australia, Melbourne</w:t>
      </w:r>
      <w:r>
        <w:rPr>
          <w:rFonts w:cs="Arial"/>
          <w:sz w:val="16"/>
          <w:szCs w:val="16"/>
        </w:rPr>
        <w:t>, p.7</w:t>
      </w:r>
      <w:r w:rsidRPr="00D60166">
        <w:rPr>
          <w:rFonts w:cs="Arial"/>
          <w:sz w:val="16"/>
          <w:szCs w:val="16"/>
        </w:rPr>
        <w:t>. Available</w:t>
      </w:r>
      <w:r>
        <w:rPr>
          <w:rFonts w:cs="Arial"/>
          <w:sz w:val="16"/>
          <w:szCs w:val="16"/>
        </w:rPr>
        <w:t xml:space="preserve"> from:</w:t>
      </w:r>
      <w:r w:rsidRPr="00D60166">
        <w:rPr>
          <w:rFonts w:cs="Arial"/>
          <w:sz w:val="16"/>
          <w:szCs w:val="16"/>
        </w:rPr>
        <w:t xml:space="preserve"> </w:t>
      </w:r>
      <w:hyperlink r:id="rId157" w:history="1">
        <w:r>
          <w:rPr>
            <w:rStyle w:val="Hyperlink"/>
            <w:rFonts w:cs="Arial"/>
            <w:sz w:val="16"/>
            <w:szCs w:val="16"/>
          </w:rPr>
          <w:t>URL</w:t>
        </w:r>
      </w:hyperlink>
    </w:p>
  </w:footnote>
  <w:footnote w:id="173">
    <w:p w14:paraId="32C7F283" w14:textId="77777777" w:rsidR="00B208C1" w:rsidRDefault="00B208C1">
      <w:pPr>
        <w:pStyle w:val="FootnoteText"/>
        <w:rPr>
          <w:rFonts w:cs="Arial"/>
          <w:sz w:val="16"/>
          <w:szCs w:val="16"/>
        </w:rPr>
      </w:pPr>
      <w:r w:rsidRPr="005B1162">
        <w:rPr>
          <w:rStyle w:val="FootnoteReference"/>
          <w:sz w:val="18"/>
          <w:szCs w:val="18"/>
        </w:rPr>
        <w:footnoteRef/>
      </w:r>
      <w:r w:rsidRPr="005B1162">
        <w:rPr>
          <w:sz w:val="18"/>
          <w:szCs w:val="18"/>
        </w:rPr>
        <w:t xml:space="preserve"> </w:t>
      </w:r>
      <w:r>
        <w:rPr>
          <w:sz w:val="18"/>
          <w:szCs w:val="18"/>
        </w:rPr>
        <w:t xml:space="preserve">  </w:t>
      </w:r>
      <w:r w:rsidRPr="00D60217">
        <w:rPr>
          <w:rFonts w:cs="Arial"/>
          <w:sz w:val="16"/>
          <w:szCs w:val="16"/>
        </w:rPr>
        <w:t>McKenzie M, Bugden M, Webster A, Barr M (2018) Advertising (in)equality: the impacts of sexist advertising on women’s</w:t>
      </w:r>
      <w:r>
        <w:rPr>
          <w:rFonts w:cs="Arial"/>
          <w:sz w:val="16"/>
          <w:szCs w:val="16"/>
        </w:rPr>
        <w:t xml:space="preserve">      </w:t>
      </w:r>
    </w:p>
    <w:p w14:paraId="3537E7BA" w14:textId="522E8B93" w:rsidR="00B208C1" w:rsidRPr="005B1162" w:rsidRDefault="00B208C1">
      <w:pPr>
        <w:pStyle w:val="FootnoteText"/>
        <w:rPr>
          <w:rFonts w:cs="Arial"/>
          <w:sz w:val="16"/>
          <w:szCs w:val="16"/>
        </w:rPr>
      </w:pPr>
      <w:r>
        <w:rPr>
          <w:rFonts w:cs="Arial"/>
          <w:sz w:val="16"/>
          <w:szCs w:val="16"/>
        </w:rPr>
        <w:t xml:space="preserve">        </w:t>
      </w:r>
      <w:r w:rsidRPr="00D60217">
        <w:rPr>
          <w:rFonts w:cs="Arial"/>
          <w:sz w:val="16"/>
          <w:szCs w:val="16"/>
        </w:rPr>
        <w:t>health and wellbeing. Women's Health Victoria, Melbourne. - (</w:t>
      </w:r>
      <w:r w:rsidRPr="005B1162">
        <w:rPr>
          <w:rFonts w:cs="Arial"/>
          <w:sz w:val="16"/>
          <w:szCs w:val="16"/>
        </w:rPr>
        <w:t>Women's Health Issues Paper</w:t>
      </w:r>
      <w:r w:rsidRPr="00D60217">
        <w:rPr>
          <w:rFonts w:cs="Arial"/>
          <w:sz w:val="16"/>
          <w:szCs w:val="16"/>
        </w:rPr>
        <w:t xml:space="preserve">; 14). Available from: </w:t>
      </w:r>
      <w:hyperlink r:id="rId158" w:history="1">
        <w:r w:rsidRPr="00D60217">
          <w:rPr>
            <w:rStyle w:val="Hyperlink"/>
            <w:rFonts w:cs="Arial"/>
            <w:sz w:val="16"/>
            <w:szCs w:val="16"/>
          </w:rPr>
          <w:t>URL</w:t>
        </w:r>
      </w:hyperlink>
    </w:p>
  </w:footnote>
  <w:footnote w:id="174">
    <w:p w14:paraId="548DFF59" w14:textId="0FB769EE" w:rsidR="00B208C1" w:rsidRPr="00D60217" w:rsidRDefault="00B208C1" w:rsidP="00045C74">
      <w:pPr>
        <w:tabs>
          <w:tab w:val="left" w:pos="357"/>
        </w:tabs>
        <w:spacing w:after="40" w:line="240" w:lineRule="auto"/>
        <w:ind w:left="357" w:hanging="357"/>
        <w:jc w:val="both"/>
        <w:rPr>
          <w:rFonts w:ascii="Arial" w:hAnsi="Arial" w:cs="Arial"/>
          <w:sz w:val="18"/>
          <w:szCs w:val="18"/>
        </w:rPr>
      </w:pPr>
      <w:r w:rsidRPr="00610015">
        <w:rPr>
          <w:rStyle w:val="FootnoteReference"/>
          <w:rFonts w:ascii="Arial" w:hAnsi="Arial" w:cs="Arial"/>
          <w:sz w:val="18"/>
          <w:szCs w:val="18"/>
        </w:rPr>
        <w:footnoteRef/>
      </w:r>
      <w:r w:rsidRPr="00D60166">
        <w:rPr>
          <w:rFonts w:ascii="Arial" w:hAnsi="Arial" w:cs="Arial"/>
          <w:sz w:val="16"/>
          <w:szCs w:val="16"/>
        </w:rPr>
        <w:t xml:space="preserve"> </w:t>
      </w:r>
      <w:r>
        <w:rPr>
          <w:rFonts w:ascii="Arial" w:hAnsi="Arial" w:cs="Arial"/>
          <w:sz w:val="16"/>
          <w:szCs w:val="16"/>
        </w:rPr>
        <w:tab/>
        <w:t xml:space="preserve">ibid. </w:t>
      </w:r>
      <w:r w:rsidRPr="00D60217">
        <w:rPr>
          <w:rFonts w:ascii="Arial" w:hAnsi="Arial" w:cs="Arial"/>
          <w:sz w:val="16"/>
          <w:szCs w:val="16"/>
        </w:rPr>
        <w:t xml:space="preserve">Available from: </w:t>
      </w:r>
      <w:bookmarkStart w:id="54" w:name="_Hlk59033616"/>
      <w:r>
        <w:fldChar w:fldCharType="begin"/>
      </w:r>
      <w:r>
        <w:instrText xml:space="preserve"> HYPERLINK "https://whv.org.au/resources/whv-publications/advertising-inequality-impacts-sexist-advertising-women%E2%80%99s-health-and" </w:instrText>
      </w:r>
      <w:r>
        <w:fldChar w:fldCharType="separate"/>
      </w:r>
      <w:r w:rsidRPr="00D60217">
        <w:rPr>
          <w:rStyle w:val="Hyperlink"/>
          <w:rFonts w:ascii="Arial" w:hAnsi="Arial" w:cs="Arial"/>
          <w:sz w:val="16"/>
          <w:szCs w:val="16"/>
        </w:rPr>
        <w:t>URL</w:t>
      </w:r>
      <w:r>
        <w:rPr>
          <w:rStyle w:val="Hyperlink"/>
          <w:rFonts w:ascii="Arial" w:hAnsi="Arial" w:cs="Arial"/>
          <w:sz w:val="16"/>
          <w:szCs w:val="16"/>
        </w:rPr>
        <w:fldChar w:fldCharType="end"/>
      </w:r>
      <w:bookmarkEnd w:id="54"/>
    </w:p>
  </w:footnote>
  <w:footnote w:id="175">
    <w:p w14:paraId="4C3C5D9F" w14:textId="26CB40B4" w:rsidR="00B208C1" w:rsidRPr="0081621C" w:rsidRDefault="00B208C1" w:rsidP="00045C74">
      <w:pPr>
        <w:tabs>
          <w:tab w:val="left" w:pos="357"/>
          <w:tab w:val="left" w:pos="510"/>
        </w:tabs>
        <w:spacing w:after="40" w:line="240" w:lineRule="auto"/>
        <w:ind w:left="357" w:hanging="357"/>
        <w:jc w:val="both"/>
        <w:rPr>
          <w:rFonts w:ascii="Arial" w:hAnsi="Arial" w:cs="Arial"/>
          <w:sz w:val="16"/>
          <w:szCs w:val="16"/>
        </w:rPr>
      </w:pPr>
      <w:r w:rsidRPr="0081621C">
        <w:rPr>
          <w:rStyle w:val="FootnoteReference"/>
          <w:rFonts w:ascii="Arial" w:hAnsi="Arial" w:cs="Arial"/>
          <w:sz w:val="18"/>
          <w:szCs w:val="18"/>
        </w:rPr>
        <w:footnoteRef/>
      </w:r>
      <w:r w:rsidRPr="0081621C">
        <w:rPr>
          <w:rFonts w:ascii="Arial" w:hAnsi="Arial" w:cs="Arial"/>
          <w:sz w:val="18"/>
          <w:szCs w:val="18"/>
        </w:rPr>
        <w:t xml:space="preserve"> </w:t>
      </w:r>
      <w:bookmarkStart w:id="55" w:name="_Hlk58510834"/>
      <w:r w:rsidRPr="0081621C">
        <w:rPr>
          <w:rFonts w:ascii="Arial" w:hAnsi="Arial" w:cs="Arial"/>
          <w:sz w:val="16"/>
          <w:szCs w:val="16"/>
        </w:rPr>
        <w:tab/>
        <w:t xml:space="preserve">Gurrieri L, Hoffman R. 2019. </w:t>
      </w:r>
      <w:r w:rsidRPr="00D60166">
        <w:rPr>
          <w:rFonts w:ascii="Arial" w:hAnsi="Arial" w:cs="Arial"/>
          <w:sz w:val="16"/>
          <w:szCs w:val="16"/>
        </w:rPr>
        <w:t>Addressing and preventing sexist advertising: an analysis of local and global promising practice</w:t>
      </w:r>
      <w:r w:rsidRPr="0081621C">
        <w:rPr>
          <w:rFonts w:ascii="Arial" w:hAnsi="Arial" w:cs="Arial"/>
          <w:sz w:val="16"/>
          <w:szCs w:val="16"/>
        </w:rPr>
        <w:t>. RMIT University</w:t>
      </w:r>
      <w:r>
        <w:rPr>
          <w:rFonts w:ascii="Arial" w:hAnsi="Arial" w:cs="Arial"/>
          <w:sz w:val="16"/>
          <w:szCs w:val="16"/>
        </w:rPr>
        <w:t>,</w:t>
      </w:r>
      <w:r w:rsidRPr="0081621C">
        <w:rPr>
          <w:rFonts w:ascii="Arial" w:hAnsi="Arial" w:cs="Arial"/>
          <w:sz w:val="16"/>
          <w:szCs w:val="16"/>
        </w:rPr>
        <w:t xml:space="preserve"> Melbourne. Available</w:t>
      </w:r>
      <w:r>
        <w:rPr>
          <w:rFonts w:ascii="Arial" w:hAnsi="Arial" w:cs="Arial"/>
          <w:sz w:val="16"/>
          <w:szCs w:val="16"/>
        </w:rPr>
        <w:t xml:space="preserve"> from:</w:t>
      </w:r>
      <w:r w:rsidRPr="0081621C">
        <w:rPr>
          <w:rFonts w:ascii="Arial" w:hAnsi="Arial" w:cs="Arial"/>
          <w:sz w:val="16"/>
          <w:szCs w:val="16"/>
        </w:rPr>
        <w:t xml:space="preserve"> </w:t>
      </w:r>
      <w:hyperlink r:id="rId159" w:history="1">
        <w:r>
          <w:rPr>
            <w:rFonts w:ascii="Arial" w:hAnsi="Arial" w:cs="Arial"/>
            <w:color w:val="0563C1" w:themeColor="hyperlink"/>
            <w:sz w:val="16"/>
            <w:szCs w:val="16"/>
            <w:u w:val="single"/>
          </w:rPr>
          <w:t>URL</w:t>
        </w:r>
      </w:hyperlink>
      <w:bookmarkEnd w:id="55"/>
    </w:p>
  </w:footnote>
  <w:footnote w:id="176">
    <w:p w14:paraId="6DAC5A41" w14:textId="4A7E4793" w:rsidR="00B208C1" w:rsidRPr="0081621C" w:rsidRDefault="00B208C1" w:rsidP="00045C74">
      <w:pPr>
        <w:pStyle w:val="FootnoteText"/>
        <w:tabs>
          <w:tab w:val="left" w:pos="357"/>
          <w:tab w:val="left" w:pos="510"/>
        </w:tabs>
        <w:spacing w:after="40"/>
        <w:ind w:left="357" w:hanging="357"/>
        <w:jc w:val="both"/>
        <w:rPr>
          <w:rFonts w:cs="Arial"/>
          <w:sz w:val="16"/>
          <w:szCs w:val="16"/>
        </w:rPr>
      </w:pPr>
      <w:r w:rsidRPr="0081621C">
        <w:rPr>
          <w:rStyle w:val="FootnoteReference"/>
          <w:rFonts w:cs="Arial"/>
          <w:sz w:val="18"/>
          <w:szCs w:val="18"/>
        </w:rPr>
        <w:footnoteRef/>
      </w:r>
      <w:r w:rsidRPr="0081621C">
        <w:rPr>
          <w:rFonts w:cs="Arial"/>
          <w:sz w:val="18"/>
          <w:szCs w:val="18"/>
        </w:rPr>
        <w:t xml:space="preserve"> </w:t>
      </w:r>
      <w:r w:rsidRPr="0081621C">
        <w:rPr>
          <w:rFonts w:cs="Arial"/>
          <w:sz w:val="16"/>
          <w:szCs w:val="16"/>
        </w:rPr>
        <w:tab/>
      </w:r>
      <w:r>
        <w:rPr>
          <w:rFonts w:cs="Arial"/>
          <w:sz w:val="16"/>
          <w:szCs w:val="16"/>
        </w:rPr>
        <w:t>ibid., p. 40.</w:t>
      </w:r>
      <w:r w:rsidRPr="0081621C">
        <w:rPr>
          <w:rFonts w:cs="Arial"/>
          <w:sz w:val="16"/>
          <w:szCs w:val="16"/>
        </w:rPr>
        <w:t xml:space="preserve"> Available</w:t>
      </w:r>
      <w:r>
        <w:rPr>
          <w:rFonts w:cs="Arial"/>
          <w:sz w:val="16"/>
          <w:szCs w:val="16"/>
        </w:rPr>
        <w:t xml:space="preserve"> from:</w:t>
      </w:r>
      <w:r w:rsidRPr="0081621C">
        <w:rPr>
          <w:rFonts w:cs="Arial"/>
          <w:sz w:val="16"/>
          <w:szCs w:val="16"/>
        </w:rPr>
        <w:t xml:space="preserve"> </w:t>
      </w:r>
      <w:hyperlink r:id="rId160" w:history="1">
        <w:r>
          <w:rPr>
            <w:rFonts w:cs="Arial"/>
            <w:color w:val="0563C1" w:themeColor="hyperlink"/>
            <w:sz w:val="16"/>
            <w:szCs w:val="16"/>
            <w:u w:val="single"/>
          </w:rPr>
          <w:t>URL</w:t>
        </w:r>
      </w:hyperlink>
    </w:p>
  </w:footnote>
  <w:footnote w:id="177">
    <w:p w14:paraId="3527E25A" w14:textId="3BA96CF4" w:rsidR="00B208C1" w:rsidRPr="0081621C" w:rsidRDefault="00B208C1" w:rsidP="00045C74">
      <w:pPr>
        <w:pStyle w:val="FootnoteText"/>
        <w:tabs>
          <w:tab w:val="left" w:pos="357"/>
          <w:tab w:val="left" w:pos="510"/>
        </w:tabs>
        <w:spacing w:after="40"/>
        <w:ind w:left="357" w:hanging="357"/>
        <w:jc w:val="both"/>
        <w:rPr>
          <w:rFonts w:cs="Arial"/>
          <w:sz w:val="16"/>
          <w:szCs w:val="16"/>
        </w:rPr>
      </w:pPr>
      <w:r w:rsidRPr="0081621C">
        <w:rPr>
          <w:rStyle w:val="FootnoteReference"/>
          <w:rFonts w:cs="Arial"/>
          <w:sz w:val="18"/>
          <w:szCs w:val="18"/>
        </w:rPr>
        <w:footnoteRef/>
      </w:r>
      <w:r w:rsidRPr="0081621C">
        <w:rPr>
          <w:rFonts w:cs="Arial"/>
          <w:sz w:val="16"/>
          <w:szCs w:val="16"/>
        </w:rPr>
        <w:t xml:space="preserve"> </w:t>
      </w:r>
      <w:r w:rsidRPr="0081621C">
        <w:rPr>
          <w:rFonts w:cs="Arial"/>
          <w:sz w:val="16"/>
          <w:szCs w:val="16"/>
        </w:rPr>
        <w:tab/>
      </w:r>
      <w:r>
        <w:rPr>
          <w:rFonts w:cs="Arial"/>
          <w:sz w:val="16"/>
          <w:szCs w:val="16"/>
        </w:rPr>
        <w:t>ibid., p. 41</w:t>
      </w:r>
      <w:r w:rsidRPr="0081621C">
        <w:rPr>
          <w:rFonts w:cs="Arial"/>
          <w:sz w:val="16"/>
          <w:szCs w:val="16"/>
        </w:rPr>
        <w:t>. Available</w:t>
      </w:r>
      <w:r>
        <w:rPr>
          <w:rFonts w:cs="Arial"/>
          <w:sz w:val="16"/>
          <w:szCs w:val="16"/>
        </w:rPr>
        <w:t xml:space="preserve"> from:</w:t>
      </w:r>
      <w:r w:rsidRPr="0081621C">
        <w:rPr>
          <w:rFonts w:cs="Arial"/>
          <w:sz w:val="16"/>
          <w:szCs w:val="16"/>
        </w:rPr>
        <w:t xml:space="preserve"> </w:t>
      </w:r>
      <w:hyperlink r:id="rId161" w:history="1">
        <w:r>
          <w:rPr>
            <w:rFonts w:cs="Arial"/>
            <w:color w:val="0563C1" w:themeColor="hyperlink"/>
            <w:sz w:val="16"/>
            <w:szCs w:val="16"/>
            <w:u w:val="single"/>
          </w:rPr>
          <w:t>URL</w:t>
        </w:r>
      </w:hyperlink>
    </w:p>
  </w:footnote>
  <w:footnote w:id="178">
    <w:p w14:paraId="5C580DBB" w14:textId="450D6105" w:rsidR="00B208C1" w:rsidRPr="0081621C" w:rsidRDefault="00B208C1" w:rsidP="00045C74">
      <w:pPr>
        <w:pStyle w:val="FootnoteText"/>
        <w:tabs>
          <w:tab w:val="left" w:pos="357"/>
          <w:tab w:val="left" w:pos="510"/>
        </w:tabs>
        <w:spacing w:after="40"/>
        <w:ind w:left="357" w:hanging="357"/>
        <w:jc w:val="both"/>
        <w:rPr>
          <w:rFonts w:cs="Arial"/>
          <w:sz w:val="16"/>
          <w:szCs w:val="16"/>
        </w:rPr>
      </w:pPr>
      <w:r w:rsidRPr="0081621C">
        <w:rPr>
          <w:rStyle w:val="FootnoteReference"/>
          <w:rFonts w:cs="Arial"/>
          <w:sz w:val="18"/>
          <w:szCs w:val="18"/>
        </w:rPr>
        <w:footnoteRef/>
      </w:r>
      <w:r w:rsidRPr="0081621C">
        <w:rPr>
          <w:rFonts w:cs="Arial"/>
          <w:sz w:val="16"/>
          <w:szCs w:val="16"/>
        </w:rPr>
        <w:t xml:space="preserve"> </w:t>
      </w:r>
      <w:r w:rsidRPr="0081621C">
        <w:rPr>
          <w:rFonts w:cs="Arial"/>
          <w:sz w:val="16"/>
          <w:szCs w:val="16"/>
        </w:rPr>
        <w:tab/>
      </w:r>
      <w:r>
        <w:rPr>
          <w:rFonts w:cs="Arial"/>
          <w:sz w:val="16"/>
          <w:szCs w:val="16"/>
        </w:rPr>
        <w:t>ibid, p. 43</w:t>
      </w:r>
      <w:r w:rsidRPr="0081621C">
        <w:rPr>
          <w:rFonts w:cs="Arial"/>
          <w:sz w:val="16"/>
          <w:szCs w:val="16"/>
        </w:rPr>
        <w:t>. Available</w:t>
      </w:r>
      <w:r>
        <w:rPr>
          <w:rFonts w:cs="Arial"/>
          <w:sz w:val="16"/>
          <w:szCs w:val="16"/>
        </w:rPr>
        <w:t xml:space="preserve"> from:</w:t>
      </w:r>
      <w:r w:rsidRPr="0081621C">
        <w:rPr>
          <w:rFonts w:cs="Arial"/>
          <w:sz w:val="16"/>
          <w:szCs w:val="16"/>
        </w:rPr>
        <w:t xml:space="preserve"> </w:t>
      </w:r>
      <w:hyperlink r:id="rId162" w:history="1">
        <w:r>
          <w:rPr>
            <w:rFonts w:cs="Arial"/>
            <w:color w:val="0563C1" w:themeColor="hyperlink"/>
            <w:sz w:val="16"/>
            <w:szCs w:val="16"/>
            <w:u w:val="single"/>
          </w:rPr>
          <w:t>URL</w:t>
        </w:r>
      </w:hyperlink>
    </w:p>
  </w:footnote>
  <w:footnote w:id="179">
    <w:p w14:paraId="194C103D" w14:textId="5628ADD5" w:rsidR="00B208C1" w:rsidRPr="003B7311" w:rsidRDefault="00B208C1" w:rsidP="00045C74">
      <w:pPr>
        <w:tabs>
          <w:tab w:val="left" w:pos="357"/>
        </w:tabs>
        <w:spacing w:after="40" w:line="240" w:lineRule="auto"/>
        <w:ind w:left="357" w:hanging="357"/>
        <w:jc w:val="both"/>
        <w:rPr>
          <w:rFonts w:ascii="Arial" w:eastAsia="Times New Roman" w:hAnsi="Arial" w:cs="Arial"/>
          <w:sz w:val="16"/>
          <w:szCs w:val="16"/>
        </w:rPr>
      </w:pPr>
      <w:r w:rsidRPr="003B7311">
        <w:rPr>
          <w:rStyle w:val="FootnoteReference"/>
          <w:rFonts w:ascii="Arial" w:hAnsi="Arial" w:cs="Arial"/>
          <w:sz w:val="18"/>
          <w:szCs w:val="18"/>
        </w:rPr>
        <w:footnoteRef/>
      </w:r>
      <w:r w:rsidRPr="003B7311">
        <w:rPr>
          <w:rFonts w:ascii="Arial" w:hAnsi="Arial" w:cs="Arial"/>
          <w:sz w:val="16"/>
          <w:szCs w:val="16"/>
        </w:rPr>
        <w:t xml:space="preserve"> </w:t>
      </w:r>
      <w:r w:rsidRPr="003B7311">
        <w:rPr>
          <w:rFonts w:ascii="Arial" w:hAnsi="Arial" w:cs="Arial"/>
          <w:sz w:val="16"/>
          <w:szCs w:val="16"/>
        </w:rPr>
        <w:tab/>
      </w:r>
      <w:r w:rsidRPr="003B7311">
        <w:rPr>
          <w:rFonts w:ascii="Arial" w:eastAsia="Times New Roman" w:hAnsi="Arial" w:cs="Arial"/>
          <w:sz w:val="16"/>
          <w:szCs w:val="16"/>
        </w:rPr>
        <w:t>Politoff V, Crabbe M, Honey N, Mannix S, Mickle J, Morgan J, et al. (2019) Young Australians’ attitudes to violence against women and gender equality: findings from the 2017 National Community Attitudes towards Violence against Women Survey (NCAS). ANROWS, Sydney – (</w:t>
      </w:r>
      <w:r w:rsidRPr="003B7311">
        <w:rPr>
          <w:rFonts w:ascii="Arial" w:eastAsia="Times New Roman" w:hAnsi="Arial" w:cs="Arial"/>
          <w:i/>
          <w:iCs/>
          <w:sz w:val="16"/>
          <w:szCs w:val="16"/>
        </w:rPr>
        <w:t>ANROWS Insights;</w:t>
      </w:r>
      <w:r w:rsidRPr="003B7311">
        <w:rPr>
          <w:rFonts w:ascii="Arial" w:eastAsia="Times New Roman" w:hAnsi="Arial" w:cs="Arial"/>
          <w:sz w:val="16"/>
          <w:szCs w:val="16"/>
        </w:rPr>
        <w:t xml:space="preserve"> 01/2019). Available from: </w:t>
      </w:r>
      <w:hyperlink r:id="rId163" w:history="1">
        <w:r w:rsidRPr="003B7311">
          <w:rPr>
            <w:rFonts w:ascii="Arial" w:eastAsia="Times New Roman" w:hAnsi="Arial" w:cs="Arial"/>
            <w:color w:val="0563C1" w:themeColor="hyperlink"/>
            <w:sz w:val="16"/>
            <w:szCs w:val="16"/>
            <w:u w:val="single"/>
          </w:rPr>
          <w:t>URL</w:t>
        </w:r>
      </w:hyperlink>
    </w:p>
  </w:footnote>
  <w:footnote w:id="180">
    <w:p w14:paraId="6F29B00C" w14:textId="26546CC6" w:rsidR="00B208C1" w:rsidRPr="003B7311" w:rsidRDefault="00B208C1" w:rsidP="00045C74">
      <w:pPr>
        <w:tabs>
          <w:tab w:val="left" w:pos="357"/>
        </w:tabs>
        <w:spacing w:after="40" w:line="240" w:lineRule="auto"/>
        <w:ind w:left="357" w:hanging="357"/>
        <w:jc w:val="both"/>
        <w:rPr>
          <w:rFonts w:ascii="Arial" w:eastAsia="Times New Roman" w:hAnsi="Arial" w:cs="Arial"/>
          <w:sz w:val="16"/>
          <w:szCs w:val="16"/>
        </w:rPr>
      </w:pPr>
      <w:r w:rsidRPr="003B7311">
        <w:rPr>
          <w:rStyle w:val="FootnoteReference"/>
          <w:rFonts w:ascii="Arial" w:hAnsi="Arial" w:cs="Arial"/>
          <w:sz w:val="18"/>
          <w:szCs w:val="18"/>
        </w:rPr>
        <w:footnoteRef/>
      </w:r>
      <w:r w:rsidRPr="003B7311">
        <w:rPr>
          <w:rFonts w:ascii="Arial" w:hAnsi="Arial" w:cs="Arial"/>
          <w:sz w:val="16"/>
          <w:szCs w:val="16"/>
        </w:rPr>
        <w:t xml:space="preserve"> </w:t>
      </w:r>
      <w:r w:rsidRPr="003B7311">
        <w:rPr>
          <w:rFonts w:ascii="Arial" w:hAnsi="Arial" w:cs="Arial"/>
          <w:sz w:val="16"/>
          <w:szCs w:val="16"/>
        </w:rPr>
        <w:tab/>
      </w:r>
      <w:r>
        <w:rPr>
          <w:rFonts w:ascii="Arial" w:eastAsia="Times New Roman" w:hAnsi="Arial" w:cs="Arial"/>
          <w:sz w:val="16"/>
          <w:szCs w:val="16"/>
        </w:rPr>
        <w:t>ibid.</w:t>
      </w:r>
      <w:r w:rsidRPr="003B7311">
        <w:rPr>
          <w:rFonts w:ascii="Arial" w:eastAsia="Times New Roman" w:hAnsi="Arial" w:cs="Arial"/>
          <w:sz w:val="16"/>
          <w:szCs w:val="16"/>
        </w:rPr>
        <w:t xml:space="preserve"> Available from: </w:t>
      </w:r>
      <w:hyperlink r:id="rId164" w:history="1">
        <w:r w:rsidRPr="003B7311">
          <w:rPr>
            <w:rFonts w:ascii="Arial" w:eastAsia="Times New Roman" w:hAnsi="Arial" w:cs="Arial"/>
            <w:color w:val="0563C1" w:themeColor="hyperlink"/>
            <w:sz w:val="16"/>
            <w:szCs w:val="16"/>
            <w:u w:val="single"/>
          </w:rPr>
          <w:t>URL</w:t>
        </w:r>
      </w:hyperlink>
    </w:p>
  </w:footnote>
  <w:footnote w:id="181">
    <w:p w14:paraId="709C371B" w14:textId="31F25689" w:rsidR="00B208C1" w:rsidRPr="003B7311" w:rsidRDefault="00B208C1" w:rsidP="00045C74">
      <w:pPr>
        <w:tabs>
          <w:tab w:val="left" w:pos="357"/>
        </w:tabs>
        <w:spacing w:after="40" w:line="240" w:lineRule="auto"/>
        <w:ind w:left="357" w:hanging="357"/>
        <w:rPr>
          <w:rFonts w:ascii="Arial" w:eastAsia="Times New Roman" w:hAnsi="Arial" w:cs="Arial"/>
          <w:sz w:val="16"/>
          <w:szCs w:val="16"/>
        </w:rPr>
      </w:pPr>
      <w:r w:rsidRPr="003B7311">
        <w:rPr>
          <w:rStyle w:val="FootnoteReference"/>
          <w:rFonts w:ascii="Arial" w:hAnsi="Arial" w:cs="Arial"/>
          <w:sz w:val="18"/>
          <w:szCs w:val="18"/>
        </w:rPr>
        <w:footnoteRef/>
      </w:r>
      <w:r w:rsidRPr="003B7311">
        <w:rPr>
          <w:rFonts w:ascii="Arial" w:hAnsi="Arial" w:cs="Arial"/>
          <w:sz w:val="16"/>
          <w:szCs w:val="16"/>
        </w:rPr>
        <w:t xml:space="preserve"> </w:t>
      </w:r>
      <w:r w:rsidRPr="003B7311">
        <w:rPr>
          <w:rFonts w:ascii="Arial" w:hAnsi="Arial" w:cs="Arial"/>
          <w:sz w:val="16"/>
          <w:szCs w:val="16"/>
        </w:rPr>
        <w:tab/>
      </w:r>
      <w:r>
        <w:rPr>
          <w:rFonts w:ascii="Arial" w:hAnsi="Arial" w:cs="Arial"/>
          <w:sz w:val="16"/>
          <w:szCs w:val="16"/>
        </w:rPr>
        <w:t xml:space="preserve">ibid. </w:t>
      </w:r>
      <w:r w:rsidRPr="003B7311">
        <w:rPr>
          <w:rFonts w:ascii="Arial" w:eastAsia="Times New Roman" w:hAnsi="Arial" w:cs="Arial"/>
          <w:sz w:val="16"/>
          <w:szCs w:val="16"/>
        </w:rPr>
        <w:t xml:space="preserve">Available from: </w:t>
      </w:r>
      <w:hyperlink r:id="rId165" w:history="1">
        <w:r w:rsidRPr="003B7311">
          <w:rPr>
            <w:rFonts w:ascii="Arial" w:eastAsia="Times New Roman" w:hAnsi="Arial" w:cs="Arial"/>
            <w:color w:val="0563C1" w:themeColor="hyperlink"/>
            <w:sz w:val="16"/>
            <w:szCs w:val="16"/>
            <w:u w:val="single"/>
          </w:rPr>
          <w:t>URL</w:t>
        </w:r>
      </w:hyperlink>
    </w:p>
  </w:footnote>
  <w:footnote w:id="182">
    <w:p w14:paraId="7D68FFF7" w14:textId="2649B0D0" w:rsidR="00B208C1" w:rsidRPr="003B7311" w:rsidRDefault="00B208C1" w:rsidP="00045C74">
      <w:pPr>
        <w:tabs>
          <w:tab w:val="left" w:pos="357"/>
        </w:tabs>
        <w:spacing w:after="40" w:line="240" w:lineRule="auto"/>
        <w:ind w:left="357" w:hanging="357"/>
        <w:jc w:val="both"/>
        <w:rPr>
          <w:rFonts w:ascii="Arial" w:eastAsia="Times New Roman" w:hAnsi="Arial" w:cs="Arial"/>
          <w:color w:val="0563C1" w:themeColor="hyperlink"/>
          <w:sz w:val="16"/>
          <w:szCs w:val="16"/>
          <w:u w:val="single"/>
        </w:rPr>
      </w:pPr>
      <w:r w:rsidRPr="003B7311">
        <w:rPr>
          <w:rStyle w:val="FootnoteReference"/>
          <w:rFonts w:ascii="Arial" w:hAnsi="Arial" w:cs="Arial"/>
          <w:sz w:val="18"/>
          <w:szCs w:val="18"/>
        </w:rPr>
        <w:footnoteRef/>
      </w:r>
      <w:r w:rsidRPr="003B7311">
        <w:rPr>
          <w:rFonts w:ascii="Arial" w:hAnsi="Arial" w:cs="Arial"/>
          <w:sz w:val="18"/>
          <w:szCs w:val="18"/>
        </w:rPr>
        <w:t xml:space="preserve"> </w:t>
      </w:r>
      <w:r w:rsidRPr="003B7311">
        <w:rPr>
          <w:rFonts w:ascii="Arial" w:hAnsi="Arial" w:cs="Arial"/>
          <w:sz w:val="16"/>
          <w:szCs w:val="16"/>
        </w:rPr>
        <w:tab/>
      </w:r>
      <w:r w:rsidRPr="003B7311">
        <w:rPr>
          <w:rFonts w:ascii="Arial" w:eastAsia="Times New Roman" w:hAnsi="Arial" w:cs="Arial"/>
          <w:sz w:val="16"/>
          <w:szCs w:val="16"/>
        </w:rPr>
        <w:t xml:space="preserve">Australian Human Rights Commission (2020) Respect@Work: National Inquiry into Sexual Harassment in Australian Workplaces. AHRC, Sydney. Available from: </w:t>
      </w:r>
      <w:hyperlink r:id="rId166" w:history="1">
        <w:r w:rsidRPr="003B7311">
          <w:rPr>
            <w:rFonts w:ascii="Arial" w:eastAsia="Times New Roman" w:hAnsi="Arial" w:cs="Arial"/>
            <w:color w:val="0563C1" w:themeColor="hyperlink"/>
            <w:sz w:val="16"/>
            <w:szCs w:val="16"/>
            <w:u w:val="single"/>
          </w:rPr>
          <w:t>URL</w:t>
        </w:r>
      </w:hyperlink>
    </w:p>
  </w:footnote>
  <w:footnote w:id="183">
    <w:p w14:paraId="61680E2E" w14:textId="1EF925AF" w:rsidR="00B208C1" w:rsidRPr="003B7311" w:rsidRDefault="00B208C1" w:rsidP="00045C74">
      <w:pPr>
        <w:pStyle w:val="FootnoteText"/>
        <w:tabs>
          <w:tab w:val="left" w:pos="357"/>
        </w:tabs>
        <w:spacing w:after="40"/>
        <w:ind w:left="357" w:hanging="357"/>
        <w:jc w:val="both"/>
        <w:rPr>
          <w:rFonts w:cs="Arial"/>
          <w:sz w:val="16"/>
          <w:szCs w:val="16"/>
        </w:rPr>
      </w:pPr>
      <w:r w:rsidRPr="003B7311">
        <w:rPr>
          <w:rStyle w:val="FootnoteReference"/>
          <w:rFonts w:cs="Arial"/>
          <w:sz w:val="18"/>
          <w:szCs w:val="18"/>
        </w:rPr>
        <w:footnoteRef/>
      </w:r>
      <w:r w:rsidRPr="003B7311">
        <w:rPr>
          <w:rFonts w:cs="Arial"/>
          <w:sz w:val="16"/>
          <w:szCs w:val="16"/>
        </w:rPr>
        <w:t xml:space="preserve"> </w:t>
      </w:r>
      <w:r w:rsidRPr="003B7311">
        <w:rPr>
          <w:rFonts w:cs="Arial"/>
          <w:sz w:val="16"/>
          <w:szCs w:val="16"/>
        </w:rPr>
        <w:tab/>
        <w:t xml:space="preserve">Ragonese C, Shand T, Barker G </w:t>
      </w:r>
      <w:r>
        <w:rPr>
          <w:rFonts w:cs="Arial"/>
          <w:sz w:val="16"/>
          <w:szCs w:val="16"/>
        </w:rPr>
        <w:t>(</w:t>
      </w:r>
      <w:r w:rsidRPr="003B7311">
        <w:rPr>
          <w:rFonts w:cs="Arial"/>
          <w:sz w:val="16"/>
          <w:szCs w:val="16"/>
        </w:rPr>
        <w:t>2019</w:t>
      </w:r>
      <w:r>
        <w:rPr>
          <w:rFonts w:cs="Arial"/>
          <w:sz w:val="16"/>
          <w:szCs w:val="16"/>
        </w:rPr>
        <w:t>)</w:t>
      </w:r>
      <w:r w:rsidRPr="003B7311">
        <w:rPr>
          <w:rFonts w:cs="Arial"/>
          <w:sz w:val="16"/>
          <w:szCs w:val="16"/>
        </w:rPr>
        <w:t xml:space="preserve"> </w:t>
      </w:r>
      <w:r w:rsidRPr="00A921A2">
        <w:rPr>
          <w:rFonts w:cs="Arial"/>
          <w:sz w:val="16"/>
          <w:szCs w:val="16"/>
        </w:rPr>
        <w:t>Masculine norms and men’s health: making the connections</w:t>
      </w:r>
      <w:r w:rsidRPr="003B7311">
        <w:rPr>
          <w:rFonts w:cs="Arial"/>
          <w:i/>
          <w:iCs/>
          <w:sz w:val="16"/>
          <w:szCs w:val="16"/>
        </w:rPr>
        <w:t>.</w:t>
      </w:r>
      <w:r w:rsidRPr="003B7311">
        <w:rPr>
          <w:rFonts w:cs="Arial"/>
          <w:sz w:val="16"/>
          <w:szCs w:val="16"/>
        </w:rPr>
        <w:t xml:space="preserve"> </w:t>
      </w:r>
      <w:r>
        <w:rPr>
          <w:rFonts w:cs="Arial"/>
          <w:sz w:val="16"/>
          <w:szCs w:val="16"/>
        </w:rPr>
        <w:t xml:space="preserve">Promundo, </w:t>
      </w:r>
      <w:r w:rsidRPr="003B7311">
        <w:rPr>
          <w:rFonts w:cs="Arial"/>
          <w:sz w:val="16"/>
          <w:szCs w:val="16"/>
        </w:rPr>
        <w:t>Washington, DC. Available</w:t>
      </w:r>
      <w:r>
        <w:rPr>
          <w:rFonts w:cs="Arial"/>
          <w:sz w:val="16"/>
          <w:szCs w:val="16"/>
        </w:rPr>
        <w:t xml:space="preserve"> from:</w:t>
      </w:r>
      <w:r w:rsidRPr="003B7311">
        <w:rPr>
          <w:rFonts w:cs="Arial"/>
          <w:sz w:val="16"/>
          <w:szCs w:val="16"/>
        </w:rPr>
        <w:t xml:space="preserve"> </w:t>
      </w:r>
      <w:hyperlink r:id="rId167" w:history="1">
        <w:r>
          <w:rPr>
            <w:rStyle w:val="Hyperlink"/>
            <w:rFonts w:cs="Arial"/>
            <w:sz w:val="16"/>
            <w:szCs w:val="16"/>
          </w:rPr>
          <w:t>URL</w:t>
        </w:r>
      </w:hyperlink>
    </w:p>
  </w:footnote>
  <w:footnote w:id="184">
    <w:p w14:paraId="69F7AD08" w14:textId="6021325A" w:rsidR="00B208C1" w:rsidRPr="003B7311" w:rsidRDefault="00B208C1" w:rsidP="00045C74">
      <w:pPr>
        <w:pStyle w:val="FootnoteText"/>
        <w:tabs>
          <w:tab w:val="left" w:pos="357"/>
        </w:tabs>
        <w:spacing w:after="40"/>
        <w:ind w:left="357" w:hanging="357"/>
        <w:jc w:val="both"/>
        <w:rPr>
          <w:rFonts w:cs="Arial"/>
          <w:sz w:val="16"/>
          <w:szCs w:val="16"/>
        </w:rPr>
      </w:pPr>
      <w:r w:rsidRPr="003B7311">
        <w:rPr>
          <w:rStyle w:val="FootnoteReference"/>
          <w:rFonts w:cs="Arial"/>
          <w:sz w:val="18"/>
          <w:szCs w:val="18"/>
        </w:rPr>
        <w:footnoteRef/>
      </w:r>
      <w:r w:rsidRPr="003B7311">
        <w:rPr>
          <w:rFonts w:cs="Arial"/>
          <w:sz w:val="18"/>
          <w:szCs w:val="18"/>
        </w:rPr>
        <w:t xml:space="preserve"> </w:t>
      </w:r>
      <w:r>
        <w:rPr>
          <w:rFonts w:cs="Arial"/>
          <w:sz w:val="16"/>
          <w:szCs w:val="16"/>
        </w:rPr>
        <w:tab/>
      </w:r>
      <w:r w:rsidRPr="003B7311">
        <w:rPr>
          <w:rFonts w:eastAsia="Times New Roman" w:cs="Arial"/>
          <w:sz w:val="16"/>
          <w:szCs w:val="16"/>
        </w:rPr>
        <w:t xml:space="preserve">Our Watch (2020) Tracking progress in prevention: A national monitoring report on progress towards the primary prevention of violence against women and their children in Australia. Our Watch, Melbourne. Available from: </w:t>
      </w:r>
      <w:hyperlink r:id="rId168" w:history="1">
        <w:r w:rsidRPr="003B7311">
          <w:rPr>
            <w:rFonts w:eastAsia="Times New Roman" w:cs="Arial"/>
            <w:color w:val="0563C1" w:themeColor="hyperlink"/>
            <w:sz w:val="16"/>
            <w:szCs w:val="16"/>
            <w:u w:val="single"/>
          </w:rPr>
          <w:t>URL</w:t>
        </w:r>
      </w:hyperlink>
    </w:p>
  </w:footnote>
  <w:footnote w:id="185">
    <w:p w14:paraId="0188AEBD" w14:textId="1584197D" w:rsidR="00B208C1" w:rsidRPr="003B7311" w:rsidRDefault="00B208C1" w:rsidP="00045C74">
      <w:pPr>
        <w:pStyle w:val="FootnoteText"/>
        <w:tabs>
          <w:tab w:val="left" w:pos="357"/>
        </w:tabs>
        <w:spacing w:after="40"/>
        <w:ind w:left="357" w:hanging="357"/>
        <w:jc w:val="both"/>
        <w:rPr>
          <w:rFonts w:cs="Arial"/>
          <w:sz w:val="16"/>
          <w:szCs w:val="16"/>
        </w:rPr>
      </w:pPr>
      <w:r w:rsidRPr="00E82409">
        <w:rPr>
          <w:rStyle w:val="FootnoteReference"/>
          <w:rFonts w:cs="Arial"/>
          <w:sz w:val="18"/>
          <w:szCs w:val="18"/>
        </w:rPr>
        <w:footnoteRef/>
      </w:r>
      <w:r w:rsidRPr="003B7311">
        <w:rPr>
          <w:rFonts w:cs="Arial"/>
          <w:sz w:val="16"/>
          <w:szCs w:val="16"/>
        </w:rPr>
        <w:t xml:space="preserve"> </w:t>
      </w:r>
      <w:r>
        <w:rPr>
          <w:rFonts w:cs="Arial"/>
          <w:sz w:val="16"/>
          <w:szCs w:val="16"/>
        </w:rPr>
        <w:tab/>
      </w:r>
      <w:r w:rsidRPr="003B7311">
        <w:rPr>
          <w:rFonts w:cs="Arial"/>
          <w:sz w:val="16"/>
          <w:szCs w:val="16"/>
        </w:rPr>
        <w:t>VicHealth</w:t>
      </w:r>
      <w:r>
        <w:rPr>
          <w:rFonts w:cs="Arial"/>
          <w:sz w:val="16"/>
          <w:szCs w:val="16"/>
        </w:rPr>
        <w:t xml:space="preserve"> (2020) </w:t>
      </w:r>
      <w:r w:rsidRPr="00EB58FA">
        <w:rPr>
          <w:rFonts w:cs="Arial"/>
          <w:sz w:val="16"/>
          <w:szCs w:val="16"/>
        </w:rPr>
        <w:t>Framing masculinity: message guide</w:t>
      </w:r>
      <w:r w:rsidRPr="003B7311">
        <w:rPr>
          <w:rFonts w:cs="Arial"/>
          <w:sz w:val="16"/>
          <w:szCs w:val="16"/>
        </w:rPr>
        <w:t xml:space="preserve">. </w:t>
      </w:r>
      <w:r>
        <w:rPr>
          <w:rFonts w:cs="Arial"/>
          <w:sz w:val="16"/>
          <w:szCs w:val="16"/>
        </w:rPr>
        <w:t xml:space="preserve">Victoria Health Promotion Foundation, Carlton South, Vic. </w:t>
      </w:r>
      <w:r w:rsidRPr="003B7311">
        <w:rPr>
          <w:rFonts w:cs="Arial"/>
          <w:sz w:val="16"/>
          <w:szCs w:val="16"/>
        </w:rPr>
        <w:t>Available</w:t>
      </w:r>
      <w:r>
        <w:rPr>
          <w:rFonts w:cs="Arial"/>
          <w:sz w:val="16"/>
          <w:szCs w:val="16"/>
        </w:rPr>
        <w:t xml:space="preserve"> from:</w:t>
      </w:r>
      <w:r w:rsidRPr="003B7311">
        <w:rPr>
          <w:rFonts w:cs="Arial"/>
          <w:sz w:val="16"/>
          <w:szCs w:val="16"/>
        </w:rPr>
        <w:t xml:space="preserve"> </w:t>
      </w:r>
      <w:hyperlink r:id="rId169" w:history="1">
        <w:r>
          <w:rPr>
            <w:rStyle w:val="Hyperlink"/>
            <w:rFonts w:cs="Arial"/>
            <w:sz w:val="16"/>
            <w:szCs w:val="16"/>
          </w:rPr>
          <w:t>URL</w:t>
        </w:r>
      </w:hyperlink>
    </w:p>
  </w:footnote>
  <w:footnote w:id="186">
    <w:p w14:paraId="4E501019" w14:textId="25B10CF8" w:rsidR="00B208C1" w:rsidRPr="003B7311" w:rsidRDefault="00B208C1" w:rsidP="00045C74">
      <w:pPr>
        <w:tabs>
          <w:tab w:val="left" w:pos="357"/>
        </w:tabs>
        <w:spacing w:after="40" w:line="240" w:lineRule="auto"/>
        <w:ind w:left="357" w:hanging="357"/>
        <w:jc w:val="both"/>
        <w:rPr>
          <w:rFonts w:ascii="Arial" w:hAnsi="Arial" w:cs="Arial"/>
          <w:sz w:val="16"/>
          <w:szCs w:val="16"/>
        </w:rPr>
      </w:pPr>
      <w:r w:rsidRPr="00E82409">
        <w:rPr>
          <w:rStyle w:val="FootnoteReference"/>
          <w:rFonts w:ascii="Arial" w:hAnsi="Arial" w:cs="Arial"/>
          <w:sz w:val="18"/>
          <w:szCs w:val="18"/>
        </w:rPr>
        <w:footnoteRef/>
      </w:r>
      <w:r w:rsidRPr="003B7311">
        <w:rPr>
          <w:rFonts w:ascii="Arial" w:hAnsi="Arial" w:cs="Arial"/>
          <w:sz w:val="16"/>
          <w:szCs w:val="16"/>
        </w:rPr>
        <w:t xml:space="preserve"> </w:t>
      </w:r>
      <w:r>
        <w:rPr>
          <w:rFonts w:ascii="Arial" w:hAnsi="Arial" w:cs="Arial"/>
          <w:sz w:val="16"/>
          <w:szCs w:val="16"/>
        </w:rPr>
        <w:tab/>
      </w:r>
      <w:r w:rsidRPr="003B7311">
        <w:rPr>
          <w:rFonts w:ascii="Arial" w:hAnsi="Arial" w:cs="Arial"/>
          <w:sz w:val="16"/>
          <w:szCs w:val="16"/>
        </w:rPr>
        <w:t>HealthWest Partnership Victoria</w:t>
      </w:r>
      <w:r>
        <w:rPr>
          <w:rFonts w:ascii="Arial" w:hAnsi="Arial" w:cs="Arial"/>
          <w:sz w:val="16"/>
          <w:szCs w:val="16"/>
        </w:rPr>
        <w:t xml:space="preserve"> (2020) </w:t>
      </w:r>
      <w:r w:rsidRPr="00EB58FA">
        <w:rPr>
          <w:rFonts w:ascii="Arial" w:hAnsi="Arial" w:cs="Arial"/>
          <w:sz w:val="16"/>
          <w:szCs w:val="16"/>
        </w:rPr>
        <w:t>Working Together with Men: how to create male allies for gender equity in your community</w:t>
      </w:r>
      <w:r w:rsidRPr="003B7311">
        <w:rPr>
          <w:rFonts w:ascii="Arial" w:hAnsi="Arial" w:cs="Arial"/>
          <w:sz w:val="16"/>
          <w:szCs w:val="16"/>
        </w:rPr>
        <w:t xml:space="preserve">. </w:t>
      </w:r>
      <w:r>
        <w:rPr>
          <w:rFonts w:ascii="Arial" w:hAnsi="Arial" w:cs="Arial"/>
          <w:sz w:val="16"/>
          <w:szCs w:val="16"/>
        </w:rPr>
        <w:t xml:space="preserve">HealthWest Partnership Victoria, Footscray, Vic. </w:t>
      </w:r>
      <w:r w:rsidRPr="003B7311">
        <w:rPr>
          <w:rFonts w:ascii="Arial" w:hAnsi="Arial" w:cs="Arial"/>
          <w:sz w:val="16"/>
          <w:szCs w:val="16"/>
        </w:rPr>
        <w:t>Available</w:t>
      </w:r>
      <w:r>
        <w:rPr>
          <w:rFonts w:ascii="Arial" w:hAnsi="Arial" w:cs="Arial"/>
          <w:sz w:val="16"/>
          <w:szCs w:val="16"/>
        </w:rPr>
        <w:t xml:space="preserve"> from: </w:t>
      </w:r>
      <w:hyperlink r:id="rId170" w:history="1">
        <w:r>
          <w:rPr>
            <w:rStyle w:val="Hyperlink"/>
            <w:rFonts w:ascii="Arial" w:hAnsi="Arial" w:cs="Arial"/>
            <w:sz w:val="16"/>
            <w:szCs w:val="16"/>
          </w:rPr>
          <w:t>URL</w:t>
        </w:r>
      </w:hyperlink>
    </w:p>
  </w:footnote>
  <w:footnote w:id="187">
    <w:p w14:paraId="50594DD7" w14:textId="2D5424F9" w:rsidR="00B208C1" w:rsidRPr="003B7311" w:rsidRDefault="00B208C1" w:rsidP="00045C74">
      <w:pPr>
        <w:tabs>
          <w:tab w:val="left" w:pos="357"/>
        </w:tabs>
        <w:spacing w:after="40" w:line="240" w:lineRule="auto"/>
        <w:ind w:left="357" w:hanging="357"/>
        <w:jc w:val="both"/>
        <w:rPr>
          <w:rFonts w:ascii="Arial" w:eastAsia="Times New Roman" w:hAnsi="Arial" w:cs="Arial"/>
          <w:sz w:val="16"/>
          <w:szCs w:val="16"/>
        </w:rPr>
      </w:pPr>
      <w:r w:rsidRPr="00E82409">
        <w:rPr>
          <w:rStyle w:val="FootnoteReference"/>
          <w:rFonts w:ascii="Arial" w:hAnsi="Arial" w:cs="Arial"/>
          <w:sz w:val="18"/>
          <w:szCs w:val="18"/>
        </w:rPr>
        <w:footnoteRef/>
      </w:r>
      <w:r w:rsidRPr="003B7311">
        <w:rPr>
          <w:rFonts w:ascii="Arial" w:hAnsi="Arial" w:cs="Arial"/>
          <w:sz w:val="16"/>
          <w:szCs w:val="16"/>
        </w:rPr>
        <w:t xml:space="preserve"> </w:t>
      </w:r>
      <w:r>
        <w:rPr>
          <w:rFonts w:ascii="Arial" w:hAnsi="Arial" w:cs="Arial"/>
          <w:sz w:val="16"/>
          <w:szCs w:val="16"/>
        </w:rPr>
        <w:tab/>
      </w:r>
      <w:r w:rsidRPr="003B7311">
        <w:rPr>
          <w:rFonts w:ascii="Arial" w:eastAsia="Times New Roman" w:hAnsi="Arial" w:cs="Arial"/>
          <w:sz w:val="16"/>
          <w:szCs w:val="16"/>
        </w:rPr>
        <w:t>The Men’s Project</w:t>
      </w:r>
      <w:r>
        <w:rPr>
          <w:rFonts w:ascii="Arial" w:eastAsia="Times New Roman" w:hAnsi="Arial" w:cs="Arial"/>
          <w:sz w:val="16"/>
          <w:szCs w:val="16"/>
        </w:rPr>
        <w:t xml:space="preserve">, </w:t>
      </w:r>
      <w:r w:rsidRPr="003B7311">
        <w:rPr>
          <w:rFonts w:ascii="Arial" w:eastAsia="Times New Roman" w:hAnsi="Arial" w:cs="Arial"/>
          <w:sz w:val="16"/>
          <w:szCs w:val="16"/>
        </w:rPr>
        <w:t xml:space="preserve">Flood M (2018) </w:t>
      </w:r>
      <w:r w:rsidRPr="006B10B5">
        <w:rPr>
          <w:rFonts w:ascii="Arial" w:eastAsia="Times New Roman" w:hAnsi="Arial" w:cs="Arial"/>
          <w:sz w:val="16"/>
          <w:szCs w:val="16"/>
        </w:rPr>
        <w:t xml:space="preserve">The Man Box: </w:t>
      </w:r>
      <w:r>
        <w:rPr>
          <w:rFonts w:ascii="Arial" w:eastAsia="Times New Roman" w:hAnsi="Arial" w:cs="Arial"/>
          <w:sz w:val="16"/>
          <w:szCs w:val="16"/>
        </w:rPr>
        <w:t>a</w:t>
      </w:r>
      <w:r w:rsidRPr="006B10B5">
        <w:rPr>
          <w:rFonts w:ascii="Arial" w:eastAsia="Times New Roman" w:hAnsi="Arial" w:cs="Arial"/>
          <w:sz w:val="16"/>
          <w:szCs w:val="16"/>
        </w:rPr>
        <w:t xml:space="preserve"> </w:t>
      </w:r>
      <w:r>
        <w:rPr>
          <w:rFonts w:ascii="Arial" w:eastAsia="Times New Roman" w:hAnsi="Arial" w:cs="Arial"/>
          <w:sz w:val="16"/>
          <w:szCs w:val="16"/>
        </w:rPr>
        <w:t>s</w:t>
      </w:r>
      <w:r w:rsidRPr="006B10B5">
        <w:rPr>
          <w:rFonts w:ascii="Arial" w:eastAsia="Times New Roman" w:hAnsi="Arial" w:cs="Arial"/>
          <w:sz w:val="16"/>
          <w:szCs w:val="16"/>
        </w:rPr>
        <w:t xml:space="preserve">tudy on </w:t>
      </w:r>
      <w:r>
        <w:rPr>
          <w:rFonts w:ascii="Arial" w:eastAsia="Times New Roman" w:hAnsi="Arial" w:cs="Arial"/>
          <w:sz w:val="16"/>
          <w:szCs w:val="16"/>
        </w:rPr>
        <w:t>b</w:t>
      </w:r>
      <w:r w:rsidRPr="006B10B5">
        <w:rPr>
          <w:rFonts w:ascii="Arial" w:eastAsia="Times New Roman" w:hAnsi="Arial" w:cs="Arial"/>
          <w:sz w:val="16"/>
          <w:szCs w:val="16"/>
        </w:rPr>
        <w:t xml:space="preserve">eing a </w:t>
      </w:r>
      <w:r>
        <w:rPr>
          <w:rFonts w:ascii="Arial" w:eastAsia="Times New Roman" w:hAnsi="Arial" w:cs="Arial"/>
          <w:sz w:val="16"/>
          <w:szCs w:val="16"/>
        </w:rPr>
        <w:t>y</w:t>
      </w:r>
      <w:r w:rsidRPr="006B10B5">
        <w:rPr>
          <w:rFonts w:ascii="Arial" w:eastAsia="Times New Roman" w:hAnsi="Arial" w:cs="Arial"/>
          <w:sz w:val="16"/>
          <w:szCs w:val="16"/>
        </w:rPr>
        <w:t xml:space="preserve">oung </w:t>
      </w:r>
      <w:r>
        <w:rPr>
          <w:rFonts w:ascii="Arial" w:eastAsia="Times New Roman" w:hAnsi="Arial" w:cs="Arial"/>
          <w:sz w:val="16"/>
          <w:szCs w:val="16"/>
        </w:rPr>
        <w:t>m</w:t>
      </w:r>
      <w:r w:rsidRPr="006B10B5">
        <w:rPr>
          <w:rFonts w:ascii="Arial" w:eastAsia="Times New Roman" w:hAnsi="Arial" w:cs="Arial"/>
          <w:sz w:val="16"/>
          <w:szCs w:val="16"/>
        </w:rPr>
        <w:t>an in Australia</w:t>
      </w:r>
      <w:r>
        <w:rPr>
          <w:rFonts w:ascii="Arial" w:eastAsia="Times New Roman" w:hAnsi="Arial" w:cs="Arial"/>
          <w:sz w:val="16"/>
          <w:szCs w:val="16"/>
        </w:rPr>
        <w:t>:</w:t>
      </w:r>
      <w:r w:rsidRPr="006B10B5">
        <w:rPr>
          <w:rFonts w:ascii="Arial" w:eastAsia="Times New Roman" w:hAnsi="Arial" w:cs="Arial"/>
          <w:sz w:val="16"/>
          <w:szCs w:val="16"/>
        </w:rPr>
        <w:t xml:space="preserve"> Fact Sheet: </w:t>
      </w:r>
      <w:r>
        <w:rPr>
          <w:rFonts w:ascii="Arial" w:eastAsia="Times New Roman" w:hAnsi="Arial" w:cs="Arial"/>
          <w:sz w:val="16"/>
          <w:szCs w:val="16"/>
        </w:rPr>
        <w:t>r</w:t>
      </w:r>
      <w:r w:rsidRPr="006B10B5">
        <w:rPr>
          <w:rFonts w:ascii="Arial" w:eastAsia="Times New Roman" w:hAnsi="Arial" w:cs="Arial"/>
          <w:sz w:val="16"/>
          <w:szCs w:val="16"/>
        </w:rPr>
        <w:t>ecommendations</w:t>
      </w:r>
      <w:r w:rsidRPr="003B7311">
        <w:rPr>
          <w:rFonts w:ascii="Arial" w:eastAsia="Times New Roman" w:hAnsi="Arial" w:cs="Arial"/>
          <w:i/>
          <w:iCs/>
          <w:sz w:val="16"/>
          <w:szCs w:val="16"/>
        </w:rPr>
        <w:t>.</w:t>
      </w:r>
      <w:r w:rsidRPr="003B7311">
        <w:rPr>
          <w:rFonts w:ascii="Arial" w:eastAsia="Times New Roman" w:hAnsi="Arial" w:cs="Arial"/>
          <w:sz w:val="16"/>
          <w:szCs w:val="16"/>
        </w:rPr>
        <w:t xml:space="preserve"> Jesuit Social Services</w:t>
      </w:r>
      <w:r>
        <w:rPr>
          <w:rFonts w:ascii="Arial" w:eastAsia="Times New Roman" w:hAnsi="Arial" w:cs="Arial"/>
          <w:sz w:val="16"/>
          <w:szCs w:val="16"/>
        </w:rPr>
        <w:t>,</w:t>
      </w:r>
      <w:r w:rsidRPr="003B7311">
        <w:rPr>
          <w:rFonts w:ascii="Arial" w:eastAsia="Times New Roman" w:hAnsi="Arial" w:cs="Arial"/>
          <w:sz w:val="16"/>
          <w:szCs w:val="16"/>
        </w:rPr>
        <w:t xml:space="preserve"> Melbourne. Available</w:t>
      </w:r>
      <w:r>
        <w:rPr>
          <w:rFonts w:ascii="Arial" w:eastAsia="Times New Roman" w:hAnsi="Arial" w:cs="Arial"/>
          <w:sz w:val="16"/>
          <w:szCs w:val="16"/>
        </w:rPr>
        <w:t xml:space="preserve"> from:</w:t>
      </w:r>
      <w:r w:rsidRPr="003B7311">
        <w:rPr>
          <w:rFonts w:ascii="Arial" w:eastAsia="Times New Roman" w:hAnsi="Arial" w:cs="Arial"/>
          <w:sz w:val="16"/>
          <w:szCs w:val="16"/>
        </w:rPr>
        <w:t xml:space="preserve"> </w:t>
      </w:r>
      <w:hyperlink r:id="rId171" w:history="1">
        <w:r>
          <w:rPr>
            <w:rFonts w:ascii="Arial" w:eastAsia="Times New Roman" w:hAnsi="Arial" w:cs="Arial"/>
            <w:color w:val="0563C1" w:themeColor="hyperlink"/>
            <w:sz w:val="16"/>
            <w:szCs w:val="16"/>
            <w:u w:val="single"/>
          </w:rPr>
          <w:t>URL</w:t>
        </w:r>
      </w:hyperlink>
    </w:p>
  </w:footnote>
  <w:footnote w:id="188">
    <w:p w14:paraId="1C381590" w14:textId="53392490" w:rsidR="00B208C1" w:rsidRPr="003B7311" w:rsidRDefault="00B208C1" w:rsidP="00045C74">
      <w:pPr>
        <w:tabs>
          <w:tab w:val="left" w:pos="357"/>
        </w:tabs>
        <w:spacing w:after="40" w:line="240" w:lineRule="auto"/>
        <w:ind w:left="357" w:hanging="357"/>
        <w:jc w:val="both"/>
        <w:rPr>
          <w:rFonts w:ascii="Arial" w:eastAsia="Times New Roman" w:hAnsi="Arial" w:cs="Arial"/>
          <w:sz w:val="16"/>
          <w:szCs w:val="16"/>
        </w:rPr>
      </w:pPr>
      <w:r w:rsidRPr="00E82409">
        <w:rPr>
          <w:rStyle w:val="FootnoteReference"/>
          <w:rFonts w:ascii="Arial" w:hAnsi="Arial" w:cs="Arial"/>
          <w:sz w:val="18"/>
          <w:szCs w:val="18"/>
        </w:rPr>
        <w:footnoteRef/>
      </w:r>
      <w:r w:rsidRPr="003B7311">
        <w:rPr>
          <w:rFonts w:ascii="Arial" w:hAnsi="Arial" w:cs="Arial"/>
          <w:sz w:val="16"/>
          <w:szCs w:val="16"/>
        </w:rPr>
        <w:t xml:space="preserve"> </w:t>
      </w:r>
      <w:r>
        <w:rPr>
          <w:rFonts w:ascii="Arial" w:hAnsi="Arial" w:cs="Arial"/>
          <w:sz w:val="16"/>
          <w:szCs w:val="16"/>
        </w:rPr>
        <w:tab/>
      </w:r>
      <w:r w:rsidRPr="003B7311">
        <w:rPr>
          <w:rFonts w:ascii="Arial" w:eastAsia="Times New Roman" w:hAnsi="Arial" w:cs="Arial"/>
          <w:sz w:val="16"/>
          <w:szCs w:val="16"/>
        </w:rPr>
        <w:t>Our Watch</w:t>
      </w:r>
      <w:r>
        <w:rPr>
          <w:rFonts w:ascii="Arial" w:eastAsia="Times New Roman" w:hAnsi="Arial" w:cs="Arial"/>
          <w:sz w:val="16"/>
          <w:szCs w:val="16"/>
        </w:rPr>
        <w:t xml:space="preserve"> (2020)</w:t>
      </w:r>
      <w:r w:rsidRPr="003B7311">
        <w:rPr>
          <w:rFonts w:ascii="Arial" w:eastAsia="Times New Roman" w:hAnsi="Arial" w:cs="Arial"/>
          <w:sz w:val="16"/>
          <w:szCs w:val="16"/>
        </w:rPr>
        <w:t xml:space="preserve"> Tracking progress in prevention: A national monitoring report on progress towards the primary prevention of violence against women and their children in Australia</w:t>
      </w:r>
      <w:r>
        <w:rPr>
          <w:rFonts w:ascii="Arial" w:eastAsia="Times New Roman" w:hAnsi="Arial" w:cs="Arial"/>
          <w:sz w:val="16"/>
          <w:szCs w:val="16"/>
        </w:rPr>
        <w:t xml:space="preserve">. </w:t>
      </w:r>
      <w:r w:rsidRPr="003B7311">
        <w:rPr>
          <w:rFonts w:ascii="Arial" w:eastAsia="Times New Roman" w:hAnsi="Arial" w:cs="Arial"/>
          <w:sz w:val="16"/>
          <w:szCs w:val="16"/>
        </w:rPr>
        <w:t>Our Watch, Melbourne</w:t>
      </w:r>
      <w:r>
        <w:rPr>
          <w:rFonts w:ascii="Arial" w:eastAsia="Times New Roman" w:hAnsi="Arial" w:cs="Arial"/>
          <w:sz w:val="16"/>
          <w:szCs w:val="16"/>
        </w:rPr>
        <w:t xml:space="preserve">. </w:t>
      </w:r>
      <w:r w:rsidRPr="003B7311">
        <w:rPr>
          <w:rFonts w:ascii="Arial" w:eastAsia="Times New Roman" w:hAnsi="Arial" w:cs="Arial"/>
          <w:sz w:val="16"/>
          <w:szCs w:val="16"/>
        </w:rPr>
        <w:t>Available</w:t>
      </w:r>
      <w:r>
        <w:rPr>
          <w:rFonts w:ascii="Arial" w:eastAsia="Times New Roman" w:hAnsi="Arial" w:cs="Arial"/>
          <w:sz w:val="16"/>
          <w:szCs w:val="16"/>
        </w:rPr>
        <w:t xml:space="preserve"> from:</w:t>
      </w:r>
      <w:r w:rsidRPr="003B7311">
        <w:rPr>
          <w:rFonts w:ascii="Arial" w:eastAsia="Times New Roman" w:hAnsi="Arial" w:cs="Arial"/>
          <w:sz w:val="16"/>
          <w:szCs w:val="16"/>
        </w:rPr>
        <w:t xml:space="preserve"> </w:t>
      </w:r>
      <w:hyperlink r:id="rId172" w:history="1">
        <w:r>
          <w:rPr>
            <w:rFonts w:ascii="Arial" w:eastAsia="Times New Roman" w:hAnsi="Arial" w:cs="Arial"/>
            <w:color w:val="0563C1" w:themeColor="hyperlink"/>
            <w:sz w:val="16"/>
            <w:szCs w:val="16"/>
            <w:u w:val="single"/>
          </w:rPr>
          <w:t>URL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D7D38" w14:textId="12AC9DE7" w:rsidR="00B208C1" w:rsidRDefault="00B208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5D533" w14:textId="77777777" w:rsidR="00B208C1" w:rsidRDefault="00B208C1">
    <w:pPr>
      <w:pStyle w:val="Header"/>
    </w:pPr>
  </w:p>
  <w:p w14:paraId="06D8E40E" w14:textId="03325920" w:rsidR="00B208C1" w:rsidRDefault="00B208C1">
    <w:pPr>
      <w:pStyle w:val="Header"/>
    </w:pPr>
    <w:r>
      <w:rPr>
        <w:noProof/>
      </w:rPr>
      <w:drawing>
        <wp:inline distT="0" distB="0" distL="0" distR="0" wp14:anchorId="71396AC3" wp14:editId="627406D7">
          <wp:extent cx="5731510" cy="10033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V_Logo_Website_Banner.gif"/>
                  <pic:cNvPicPr/>
                </pic:nvPicPr>
                <pic:blipFill>
                  <a:blip r:embed="rId1">
                    <a:extLst>
                      <a:ext uri="{28A0092B-C50C-407E-A947-70E740481C1C}">
                        <a14:useLocalDpi xmlns:a14="http://schemas.microsoft.com/office/drawing/2010/main" val="0"/>
                      </a:ext>
                    </a:extLst>
                  </a:blip>
                  <a:stretch>
                    <a:fillRect/>
                  </a:stretch>
                </pic:blipFill>
                <pic:spPr>
                  <a:xfrm>
                    <a:off x="0" y="0"/>
                    <a:ext cx="5731510" cy="10033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461B1" w14:textId="39692B3D" w:rsidR="00B208C1" w:rsidRDefault="00B208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A08C4"/>
    <w:multiLevelType w:val="hybridMultilevel"/>
    <w:tmpl w:val="CDACC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70199F"/>
    <w:multiLevelType w:val="hybridMultilevel"/>
    <w:tmpl w:val="D81AF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E710D2"/>
    <w:multiLevelType w:val="hybridMultilevel"/>
    <w:tmpl w:val="FFFFFFFF"/>
    <w:lvl w:ilvl="0" w:tplc="FC1EBDA2">
      <w:start w:val="1"/>
      <w:numFmt w:val="bullet"/>
      <w:lvlText w:val="·"/>
      <w:lvlJc w:val="left"/>
      <w:pPr>
        <w:ind w:left="720" w:hanging="360"/>
      </w:pPr>
      <w:rPr>
        <w:rFonts w:ascii="Symbol" w:hAnsi="Symbol" w:hint="default"/>
      </w:rPr>
    </w:lvl>
    <w:lvl w:ilvl="1" w:tplc="85F0A696">
      <w:start w:val="1"/>
      <w:numFmt w:val="bullet"/>
      <w:lvlText w:val="o"/>
      <w:lvlJc w:val="left"/>
      <w:pPr>
        <w:ind w:left="1440" w:hanging="360"/>
      </w:pPr>
      <w:rPr>
        <w:rFonts w:ascii="Courier New" w:hAnsi="Courier New" w:hint="default"/>
      </w:rPr>
    </w:lvl>
    <w:lvl w:ilvl="2" w:tplc="551EC49C">
      <w:start w:val="1"/>
      <w:numFmt w:val="bullet"/>
      <w:lvlText w:val=""/>
      <w:lvlJc w:val="left"/>
      <w:pPr>
        <w:ind w:left="2160" w:hanging="360"/>
      </w:pPr>
      <w:rPr>
        <w:rFonts w:ascii="Wingdings" w:hAnsi="Wingdings" w:hint="default"/>
      </w:rPr>
    </w:lvl>
    <w:lvl w:ilvl="3" w:tplc="1110D202">
      <w:start w:val="1"/>
      <w:numFmt w:val="bullet"/>
      <w:lvlText w:val=""/>
      <w:lvlJc w:val="left"/>
      <w:pPr>
        <w:ind w:left="2880" w:hanging="360"/>
      </w:pPr>
      <w:rPr>
        <w:rFonts w:ascii="Symbol" w:hAnsi="Symbol" w:hint="default"/>
      </w:rPr>
    </w:lvl>
    <w:lvl w:ilvl="4" w:tplc="23642196">
      <w:start w:val="1"/>
      <w:numFmt w:val="bullet"/>
      <w:lvlText w:val="o"/>
      <w:lvlJc w:val="left"/>
      <w:pPr>
        <w:ind w:left="3600" w:hanging="360"/>
      </w:pPr>
      <w:rPr>
        <w:rFonts w:ascii="Courier New" w:hAnsi="Courier New" w:hint="default"/>
      </w:rPr>
    </w:lvl>
    <w:lvl w:ilvl="5" w:tplc="D96ED768">
      <w:start w:val="1"/>
      <w:numFmt w:val="bullet"/>
      <w:lvlText w:val=""/>
      <w:lvlJc w:val="left"/>
      <w:pPr>
        <w:ind w:left="4320" w:hanging="360"/>
      </w:pPr>
      <w:rPr>
        <w:rFonts w:ascii="Wingdings" w:hAnsi="Wingdings" w:hint="default"/>
      </w:rPr>
    </w:lvl>
    <w:lvl w:ilvl="6" w:tplc="4672029E">
      <w:start w:val="1"/>
      <w:numFmt w:val="bullet"/>
      <w:lvlText w:val=""/>
      <w:lvlJc w:val="left"/>
      <w:pPr>
        <w:ind w:left="5040" w:hanging="360"/>
      </w:pPr>
      <w:rPr>
        <w:rFonts w:ascii="Symbol" w:hAnsi="Symbol" w:hint="default"/>
      </w:rPr>
    </w:lvl>
    <w:lvl w:ilvl="7" w:tplc="A4B42830">
      <w:start w:val="1"/>
      <w:numFmt w:val="bullet"/>
      <w:lvlText w:val="o"/>
      <w:lvlJc w:val="left"/>
      <w:pPr>
        <w:ind w:left="5760" w:hanging="360"/>
      </w:pPr>
      <w:rPr>
        <w:rFonts w:ascii="Courier New" w:hAnsi="Courier New" w:hint="default"/>
      </w:rPr>
    </w:lvl>
    <w:lvl w:ilvl="8" w:tplc="1DF25080">
      <w:start w:val="1"/>
      <w:numFmt w:val="bullet"/>
      <w:lvlText w:val=""/>
      <w:lvlJc w:val="left"/>
      <w:pPr>
        <w:ind w:left="6480" w:hanging="360"/>
      </w:pPr>
      <w:rPr>
        <w:rFonts w:ascii="Wingdings" w:hAnsi="Wingdings" w:hint="default"/>
      </w:rPr>
    </w:lvl>
  </w:abstractNum>
  <w:abstractNum w:abstractNumId="3" w15:restartNumberingAfterBreak="0">
    <w:nsid w:val="0DE77836"/>
    <w:multiLevelType w:val="hybridMultilevel"/>
    <w:tmpl w:val="05B68C1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E905387"/>
    <w:multiLevelType w:val="hybridMultilevel"/>
    <w:tmpl w:val="57327A5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135671E0"/>
    <w:multiLevelType w:val="hybridMultilevel"/>
    <w:tmpl w:val="E7F41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6A02F0"/>
    <w:multiLevelType w:val="hybridMultilevel"/>
    <w:tmpl w:val="A92A5626"/>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67820C7"/>
    <w:multiLevelType w:val="hybridMultilevel"/>
    <w:tmpl w:val="65B08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10EF8"/>
    <w:multiLevelType w:val="hybridMultilevel"/>
    <w:tmpl w:val="FFFFFFFF"/>
    <w:lvl w:ilvl="0" w:tplc="C60C4A64">
      <w:start w:val="1"/>
      <w:numFmt w:val="bullet"/>
      <w:lvlText w:val="·"/>
      <w:lvlJc w:val="left"/>
      <w:pPr>
        <w:ind w:left="720" w:hanging="360"/>
      </w:pPr>
      <w:rPr>
        <w:rFonts w:ascii="Symbol" w:hAnsi="Symbol" w:hint="default"/>
      </w:rPr>
    </w:lvl>
    <w:lvl w:ilvl="1" w:tplc="44EEE826">
      <w:start w:val="1"/>
      <w:numFmt w:val="bullet"/>
      <w:lvlText w:val="o"/>
      <w:lvlJc w:val="left"/>
      <w:pPr>
        <w:ind w:left="1440" w:hanging="360"/>
      </w:pPr>
      <w:rPr>
        <w:rFonts w:ascii="Courier New" w:hAnsi="Courier New" w:hint="default"/>
      </w:rPr>
    </w:lvl>
    <w:lvl w:ilvl="2" w:tplc="C004EB62">
      <w:start w:val="1"/>
      <w:numFmt w:val="bullet"/>
      <w:lvlText w:val=""/>
      <w:lvlJc w:val="left"/>
      <w:pPr>
        <w:ind w:left="2160" w:hanging="360"/>
      </w:pPr>
      <w:rPr>
        <w:rFonts w:ascii="Wingdings" w:hAnsi="Wingdings" w:hint="default"/>
      </w:rPr>
    </w:lvl>
    <w:lvl w:ilvl="3" w:tplc="C812F508">
      <w:start w:val="1"/>
      <w:numFmt w:val="bullet"/>
      <w:lvlText w:val=""/>
      <w:lvlJc w:val="left"/>
      <w:pPr>
        <w:ind w:left="2880" w:hanging="360"/>
      </w:pPr>
      <w:rPr>
        <w:rFonts w:ascii="Symbol" w:hAnsi="Symbol" w:hint="default"/>
      </w:rPr>
    </w:lvl>
    <w:lvl w:ilvl="4" w:tplc="D302AD14">
      <w:start w:val="1"/>
      <w:numFmt w:val="bullet"/>
      <w:lvlText w:val="o"/>
      <w:lvlJc w:val="left"/>
      <w:pPr>
        <w:ind w:left="3600" w:hanging="360"/>
      </w:pPr>
      <w:rPr>
        <w:rFonts w:ascii="Courier New" w:hAnsi="Courier New" w:hint="default"/>
      </w:rPr>
    </w:lvl>
    <w:lvl w:ilvl="5" w:tplc="7A70C0D2">
      <w:start w:val="1"/>
      <w:numFmt w:val="bullet"/>
      <w:lvlText w:val=""/>
      <w:lvlJc w:val="left"/>
      <w:pPr>
        <w:ind w:left="4320" w:hanging="360"/>
      </w:pPr>
      <w:rPr>
        <w:rFonts w:ascii="Wingdings" w:hAnsi="Wingdings" w:hint="default"/>
      </w:rPr>
    </w:lvl>
    <w:lvl w:ilvl="6" w:tplc="BCFA37FE">
      <w:start w:val="1"/>
      <w:numFmt w:val="bullet"/>
      <w:lvlText w:val=""/>
      <w:lvlJc w:val="left"/>
      <w:pPr>
        <w:ind w:left="5040" w:hanging="360"/>
      </w:pPr>
      <w:rPr>
        <w:rFonts w:ascii="Symbol" w:hAnsi="Symbol" w:hint="default"/>
      </w:rPr>
    </w:lvl>
    <w:lvl w:ilvl="7" w:tplc="7D603F92">
      <w:start w:val="1"/>
      <w:numFmt w:val="bullet"/>
      <w:lvlText w:val="o"/>
      <w:lvlJc w:val="left"/>
      <w:pPr>
        <w:ind w:left="5760" w:hanging="360"/>
      </w:pPr>
      <w:rPr>
        <w:rFonts w:ascii="Courier New" w:hAnsi="Courier New" w:hint="default"/>
      </w:rPr>
    </w:lvl>
    <w:lvl w:ilvl="8" w:tplc="3078E63E">
      <w:start w:val="1"/>
      <w:numFmt w:val="bullet"/>
      <w:lvlText w:val=""/>
      <w:lvlJc w:val="left"/>
      <w:pPr>
        <w:ind w:left="6480" w:hanging="360"/>
      </w:pPr>
      <w:rPr>
        <w:rFonts w:ascii="Wingdings" w:hAnsi="Wingdings" w:hint="default"/>
      </w:rPr>
    </w:lvl>
  </w:abstractNum>
  <w:abstractNum w:abstractNumId="9" w15:restartNumberingAfterBreak="0">
    <w:nsid w:val="1E556AC3"/>
    <w:multiLevelType w:val="hybridMultilevel"/>
    <w:tmpl w:val="F92A8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7B5D2F"/>
    <w:multiLevelType w:val="hybridMultilevel"/>
    <w:tmpl w:val="C58034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BA3A52"/>
    <w:multiLevelType w:val="hybridMultilevel"/>
    <w:tmpl w:val="5BD0C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4E5F6E"/>
    <w:multiLevelType w:val="hybridMultilevel"/>
    <w:tmpl w:val="A38E2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A70C8D"/>
    <w:multiLevelType w:val="hybridMultilevel"/>
    <w:tmpl w:val="5614A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297CC5"/>
    <w:multiLevelType w:val="hybridMultilevel"/>
    <w:tmpl w:val="BAA60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A9159E"/>
    <w:multiLevelType w:val="multilevel"/>
    <w:tmpl w:val="25AA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AB6F0D"/>
    <w:multiLevelType w:val="hybridMultilevel"/>
    <w:tmpl w:val="FFFFFFFF"/>
    <w:lvl w:ilvl="0" w:tplc="2D2C69F6">
      <w:start w:val="1"/>
      <w:numFmt w:val="bullet"/>
      <w:lvlText w:val="·"/>
      <w:lvlJc w:val="left"/>
      <w:pPr>
        <w:ind w:left="720" w:hanging="360"/>
      </w:pPr>
      <w:rPr>
        <w:rFonts w:ascii="Symbol" w:hAnsi="Symbol" w:hint="default"/>
      </w:rPr>
    </w:lvl>
    <w:lvl w:ilvl="1" w:tplc="88CECC62">
      <w:start w:val="1"/>
      <w:numFmt w:val="bullet"/>
      <w:lvlText w:val="o"/>
      <w:lvlJc w:val="left"/>
      <w:pPr>
        <w:ind w:left="1440" w:hanging="360"/>
      </w:pPr>
      <w:rPr>
        <w:rFonts w:ascii="Courier New" w:hAnsi="Courier New" w:hint="default"/>
      </w:rPr>
    </w:lvl>
    <w:lvl w:ilvl="2" w:tplc="8B141DF0">
      <w:start w:val="1"/>
      <w:numFmt w:val="bullet"/>
      <w:lvlText w:val=""/>
      <w:lvlJc w:val="left"/>
      <w:pPr>
        <w:ind w:left="2160" w:hanging="360"/>
      </w:pPr>
      <w:rPr>
        <w:rFonts w:ascii="Wingdings" w:hAnsi="Wingdings" w:hint="default"/>
      </w:rPr>
    </w:lvl>
    <w:lvl w:ilvl="3" w:tplc="D9AC5366">
      <w:start w:val="1"/>
      <w:numFmt w:val="bullet"/>
      <w:lvlText w:val=""/>
      <w:lvlJc w:val="left"/>
      <w:pPr>
        <w:ind w:left="2880" w:hanging="360"/>
      </w:pPr>
      <w:rPr>
        <w:rFonts w:ascii="Symbol" w:hAnsi="Symbol" w:hint="default"/>
      </w:rPr>
    </w:lvl>
    <w:lvl w:ilvl="4" w:tplc="CF2EC4E0">
      <w:start w:val="1"/>
      <w:numFmt w:val="bullet"/>
      <w:lvlText w:val="o"/>
      <w:lvlJc w:val="left"/>
      <w:pPr>
        <w:ind w:left="3600" w:hanging="360"/>
      </w:pPr>
      <w:rPr>
        <w:rFonts w:ascii="Courier New" w:hAnsi="Courier New" w:hint="default"/>
      </w:rPr>
    </w:lvl>
    <w:lvl w:ilvl="5" w:tplc="5A12BC7E">
      <w:start w:val="1"/>
      <w:numFmt w:val="bullet"/>
      <w:lvlText w:val=""/>
      <w:lvlJc w:val="left"/>
      <w:pPr>
        <w:ind w:left="4320" w:hanging="360"/>
      </w:pPr>
      <w:rPr>
        <w:rFonts w:ascii="Wingdings" w:hAnsi="Wingdings" w:hint="default"/>
      </w:rPr>
    </w:lvl>
    <w:lvl w:ilvl="6" w:tplc="9D684492">
      <w:start w:val="1"/>
      <w:numFmt w:val="bullet"/>
      <w:lvlText w:val=""/>
      <w:lvlJc w:val="left"/>
      <w:pPr>
        <w:ind w:left="5040" w:hanging="360"/>
      </w:pPr>
      <w:rPr>
        <w:rFonts w:ascii="Symbol" w:hAnsi="Symbol" w:hint="default"/>
      </w:rPr>
    </w:lvl>
    <w:lvl w:ilvl="7" w:tplc="0DF27884">
      <w:start w:val="1"/>
      <w:numFmt w:val="bullet"/>
      <w:lvlText w:val="o"/>
      <w:lvlJc w:val="left"/>
      <w:pPr>
        <w:ind w:left="5760" w:hanging="360"/>
      </w:pPr>
      <w:rPr>
        <w:rFonts w:ascii="Courier New" w:hAnsi="Courier New" w:hint="default"/>
      </w:rPr>
    </w:lvl>
    <w:lvl w:ilvl="8" w:tplc="D474F2E8">
      <w:start w:val="1"/>
      <w:numFmt w:val="bullet"/>
      <w:lvlText w:val=""/>
      <w:lvlJc w:val="left"/>
      <w:pPr>
        <w:ind w:left="6480" w:hanging="360"/>
      </w:pPr>
      <w:rPr>
        <w:rFonts w:ascii="Wingdings" w:hAnsi="Wingdings" w:hint="default"/>
      </w:rPr>
    </w:lvl>
  </w:abstractNum>
  <w:abstractNum w:abstractNumId="17" w15:restartNumberingAfterBreak="0">
    <w:nsid w:val="2D9D1D11"/>
    <w:multiLevelType w:val="hybridMultilevel"/>
    <w:tmpl w:val="7F5A2152"/>
    <w:lvl w:ilvl="0" w:tplc="57E8CC8C">
      <w:start w:val="1"/>
      <w:numFmt w:val="bullet"/>
      <w:lvlText w:val=""/>
      <w:lvlJc w:val="left"/>
      <w:pPr>
        <w:tabs>
          <w:tab w:val="num" w:pos="720"/>
        </w:tabs>
        <w:ind w:left="720" w:hanging="360"/>
      </w:pPr>
      <w:rPr>
        <w:rFonts w:ascii="Symbol" w:hAnsi="Symbol" w:hint="default"/>
        <w:sz w:val="20"/>
      </w:rPr>
    </w:lvl>
    <w:lvl w:ilvl="1" w:tplc="8E7468AA" w:tentative="1">
      <w:start w:val="1"/>
      <w:numFmt w:val="bullet"/>
      <w:lvlText w:val="o"/>
      <w:lvlJc w:val="left"/>
      <w:pPr>
        <w:tabs>
          <w:tab w:val="num" w:pos="1440"/>
        </w:tabs>
        <w:ind w:left="1440" w:hanging="360"/>
      </w:pPr>
      <w:rPr>
        <w:rFonts w:ascii="Courier New" w:hAnsi="Courier New" w:hint="default"/>
        <w:sz w:val="20"/>
      </w:rPr>
    </w:lvl>
    <w:lvl w:ilvl="2" w:tplc="DA0A373A" w:tentative="1">
      <w:start w:val="1"/>
      <w:numFmt w:val="bullet"/>
      <w:lvlText w:val=""/>
      <w:lvlJc w:val="left"/>
      <w:pPr>
        <w:tabs>
          <w:tab w:val="num" w:pos="2160"/>
        </w:tabs>
        <w:ind w:left="2160" w:hanging="360"/>
      </w:pPr>
      <w:rPr>
        <w:rFonts w:ascii="Wingdings" w:hAnsi="Wingdings" w:hint="default"/>
        <w:sz w:val="20"/>
      </w:rPr>
    </w:lvl>
    <w:lvl w:ilvl="3" w:tplc="2E3CFEF2" w:tentative="1">
      <w:start w:val="1"/>
      <w:numFmt w:val="bullet"/>
      <w:lvlText w:val=""/>
      <w:lvlJc w:val="left"/>
      <w:pPr>
        <w:tabs>
          <w:tab w:val="num" w:pos="2880"/>
        </w:tabs>
        <w:ind w:left="2880" w:hanging="360"/>
      </w:pPr>
      <w:rPr>
        <w:rFonts w:ascii="Wingdings" w:hAnsi="Wingdings" w:hint="default"/>
        <w:sz w:val="20"/>
      </w:rPr>
    </w:lvl>
    <w:lvl w:ilvl="4" w:tplc="2780BBFA" w:tentative="1">
      <w:start w:val="1"/>
      <w:numFmt w:val="bullet"/>
      <w:lvlText w:val=""/>
      <w:lvlJc w:val="left"/>
      <w:pPr>
        <w:tabs>
          <w:tab w:val="num" w:pos="3600"/>
        </w:tabs>
        <w:ind w:left="3600" w:hanging="360"/>
      </w:pPr>
      <w:rPr>
        <w:rFonts w:ascii="Wingdings" w:hAnsi="Wingdings" w:hint="default"/>
        <w:sz w:val="20"/>
      </w:rPr>
    </w:lvl>
    <w:lvl w:ilvl="5" w:tplc="0206F5EE" w:tentative="1">
      <w:start w:val="1"/>
      <w:numFmt w:val="bullet"/>
      <w:lvlText w:val=""/>
      <w:lvlJc w:val="left"/>
      <w:pPr>
        <w:tabs>
          <w:tab w:val="num" w:pos="4320"/>
        </w:tabs>
        <w:ind w:left="4320" w:hanging="360"/>
      </w:pPr>
      <w:rPr>
        <w:rFonts w:ascii="Wingdings" w:hAnsi="Wingdings" w:hint="default"/>
        <w:sz w:val="20"/>
      </w:rPr>
    </w:lvl>
    <w:lvl w:ilvl="6" w:tplc="40EC1D88" w:tentative="1">
      <w:start w:val="1"/>
      <w:numFmt w:val="bullet"/>
      <w:lvlText w:val=""/>
      <w:lvlJc w:val="left"/>
      <w:pPr>
        <w:tabs>
          <w:tab w:val="num" w:pos="5040"/>
        </w:tabs>
        <w:ind w:left="5040" w:hanging="360"/>
      </w:pPr>
      <w:rPr>
        <w:rFonts w:ascii="Wingdings" w:hAnsi="Wingdings" w:hint="default"/>
        <w:sz w:val="20"/>
      </w:rPr>
    </w:lvl>
    <w:lvl w:ilvl="7" w:tplc="508C9E6C" w:tentative="1">
      <w:start w:val="1"/>
      <w:numFmt w:val="bullet"/>
      <w:lvlText w:val=""/>
      <w:lvlJc w:val="left"/>
      <w:pPr>
        <w:tabs>
          <w:tab w:val="num" w:pos="5760"/>
        </w:tabs>
        <w:ind w:left="5760" w:hanging="360"/>
      </w:pPr>
      <w:rPr>
        <w:rFonts w:ascii="Wingdings" w:hAnsi="Wingdings" w:hint="default"/>
        <w:sz w:val="20"/>
      </w:rPr>
    </w:lvl>
    <w:lvl w:ilvl="8" w:tplc="174C209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9A45C1"/>
    <w:multiLevelType w:val="hybridMultilevel"/>
    <w:tmpl w:val="6D4A2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4A03CD"/>
    <w:multiLevelType w:val="hybridMultilevel"/>
    <w:tmpl w:val="1A102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8659BB"/>
    <w:multiLevelType w:val="hybridMultilevel"/>
    <w:tmpl w:val="6980C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D17D07"/>
    <w:multiLevelType w:val="hybridMultilevel"/>
    <w:tmpl w:val="9F5AF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741553"/>
    <w:multiLevelType w:val="hybridMultilevel"/>
    <w:tmpl w:val="3E2A405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15:restartNumberingAfterBreak="0">
    <w:nsid w:val="4CEB1F2E"/>
    <w:multiLevelType w:val="hybridMultilevel"/>
    <w:tmpl w:val="6484A4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E72222A"/>
    <w:multiLevelType w:val="hybridMultilevel"/>
    <w:tmpl w:val="D35AC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325ECC"/>
    <w:multiLevelType w:val="hybridMultilevel"/>
    <w:tmpl w:val="6C6E1A9C"/>
    <w:lvl w:ilvl="0" w:tplc="0E624458">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F93D1B"/>
    <w:multiLevelType w:val="hybridMultilevel"/>
    <w:tmpl w:val="6C6E1A9C"/>
    <w:lvl w:ilvl="0" w:tplc="0E624458">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9D51537"/>
    <w:multiLevelType w:val="hybridMultilevel"/>
    <w:tmpl w:val="1BB09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31749A"/>
    <w:multiLevelType w:val="hybridMultilevel"/>
    <w:tmpl w:val="87D473F0"/>
    <w:lvl w:ilvl="0" w:tplc="0C090001">
      <w:start w:val="1"/>
      <w:numFmt w:val="bullet"/>
      <w:lvlText w:val=""/>
      <w:lvlJc w:val="left"/>
      <w:pPr>
        <w:ind w:left="720" w:hanging="360"/>
      </w:pPr>
      <w:rPr>
        <w:rFonts w:ascii="Symbol" w:hAnsi="Symbol" w:hint="default"/>
      </w:rPr>
    </w:lvl>
    <w:lvl w:ilvl="1" w:tplc="8DB4D8F8">
      <w:numFmt w:val="bulle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C442D6"/>
    <w:multiLevelType w:val="hybridMultilevel"/>
    <w:tmpl w:val="A7501F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0086A48"/>
    <w:multiLevelType w:val="hybridMultilevel"/>
    <w:tmpl w:val="13A871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3B56D7A"/>
    <w:multiLevelType w:val="hybridMultilevel"/>
    <w:tmpl w:val="FFFFFFFF"/>
    <w:lvl w:ilvl="0" w:tplc="7DEC44C0">
      <w:start w:val="1"/>
      <w:numFmt w:val="bullet"/>
      <w:lvlText w:val="·"/>
      <w:lvlJc w:val="left"/>
      <w:pPr>
        <w:ind w:left="720" w:hanging="360"/>
      </w:pPr>
      <w:rPr>
        <w:rFonts w:ascii="Symbol" w:hAnsi="Symbol" w:hint="default"/>
      </w:rPr>
    </w:lvl>
    <w:lvl w:ilvl="1" w:tplc="E5CA3B5E">
      <w:start w:val="1"/>
      <w:numFmt w:val="bullet"/>
      <w:lvlText w:val="o"/>
      <w:lvlJc w:val="left"/>
      <w:pPr>
        <w:ind w:left="1440" w:hanging="360"/>
      </w:pPr>
      <w:rPr>
        <w:rFonts w:ascii="Courier New" w:hAnsi="Courier New" w:hint="default"/>
      </w:rPr>
    </w:lvl>
    <w:lvl w:ilvl="2" w:tplc="081EA8F0">
      <w:start w:val="1"/>
      <w:numFmt w:val="bullet"/>
      <w:lvlText w:val=""/>
      <w:lvlJc w:val="left"/>
      <w:pPr>
        <w:ind w:left="2160" w:hanging="360"/>
      </w:pPr>
      <w:rPr>
        <w:rFonts w:ascii="Wingdings" w:hAnsi="Wingdings" w:hint="default"/>
      </w:rPr>
    </w:lvl>
    <w:lvl w:ilvl="3" w:tplc="70D89736">
      <w:start w:val="1"/>
      <w:numFmt w:val="bullet"/>
      <w:lvlText w:val=""/>
      <w:lvlJc w:val="left"/>
      <w:pPr>
        <w:ind w:left="2880" w:hanging="360"/>
      </w:pPr>
      <w:rPr>
        <w:rFonts w:ascii="Symbol" w:hAnsi="Symbol" w:hint="default"/>
      </w:rPr>
    </w:lvl>
    <w:lvl w:ilvl="4" w:tplc="619AB75A">
      <w:start w:val="1"/>
      <w:numFmt w:val="bullet"/>
      <w:lvlText w:val="o"/>
      <w:lvlJc w:val="left"/>
      <w:pPr>
        <w:ind w:left="3600" w:hanging="360"/>
      </w:pPr>
      <w:rPr>
        <w:rFonts w:ascii="Courier New" w:hAnsi="Courier New" w:hint="default"/>
      </w:rPr>
    </w:lvl>
    <w:lvl w:ilvl="5" w:tplc="A50891BE">
      <w:start w:val="1"/>
      <w:numFmt w:val="bullet"/>
      <w:lvlText w:val=""/>
      <w:lvlJc w:val="left"/>
      <w:pPr>
        <w:ind w:left="4320" w:hanging="360"/>
      </w:pPr>
      <w:rPr>
        <w:rFonts w:ascii="Wingdings" w:hAnsi="Wingdings" w:hint="default"/>
      </w:rPr>
    </w:lvl>
    <w:lvl w:ilvl="6" w:tplc="A66C051C">
      <w:start w:val="1"/>
      <w:numFmt w:val="bullet"/>
      <w:lvlText w:val=""/>
      <w:lvlJc w:val="left"/>
      <w:pPr>
        <w:ind w:left="5040" w:hanging="360"/>
      </w:pPr>
      <w:rPr>
        <w:rFonts w:ascii="Symbol" w:hAnsi="Symbol" w:hint="default"/>
      </w:rPr>
    </w:lvl>
    <w:lvl w:ilvl="7" w:tplc="3DB6D6B2">
      <w:start w:val="1"/>
      <w:numFmt w:val="bullet"/>
      <w:lvlText w:val="o"/>
      <w:lvlJc w:val="left"/>
      <w:pPr>
        <w:ind w:left="5760" w:hanging="360"/>
      </w:pPr>
      <w:rPr>
        <w:rFonts w:ascii="Courier New" w:hAnsi="Courier New" w:hint="default"/>
      </w:rPr>
    </w:lvl>
    <w:lvl w:ilvl="8" w:tplc="0AFA7238">
      <w:start w:val="1"/>
      <w:numFmt w:val="bullet"/>
      <w:lvlText w:val=""/>
      <w:lvlJc w:val="left"/>
      <w:pPr>
        <w:ind w:left="6480" w:hanging="360"/>
      </w:pPr>
      <w:rPr>
        <w:rFonts w:ascii="Wingdings" w:hAnsi="Wingdings" w:hint="default"/>
      </w:rPr>
    </w:lvl>
  </w:abstractNum>
  <w:abstractNum w:abstractNumId="32" w15:restartNumberingAfterBreak="0">
    <w:nsid w:val="64F13C91"/>
    <w:multiLevelType w:val="hybridMultilevel"/>
    <w:tmpl w:val="E7DC8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FE4226"/>
    <w:multiLevelType w:val="hybridMultilevel"/>
    <w:tmpl w:val="ED8E2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6F7017"/>
    <w:multiLevelType w:val="hybridMultilevel"/>
    <w:tmpl w:val="F330195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5" w15:restartNumberingAfterBreak="0">
    <w:nsid w:val="6BA72FC9"/>
    <w:multiLevelType w:val="hybridMultilevel"/>
    <w:tmpl w:val="D98C8F9E"/>
    <w:lvl w:ilvl="0" w:tplc="68364786">
      <w:start w:val="1"/>
      <w:numFmt w:val="decimal"/>
      <w:lvlText w:val="%1."/>
      <w:lvlJc w:val="left"/>
      <w:pPr>
        <w:ind w:left="720" w:hanging="360"/>
      </w:pPr>
      <w:rPr>
        <w:rFonts w:hint="default"/>
        <w:b/>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EB4399F"/>
    <w:multiLevelType w:val="hybridMultilevel"/>
    <w:tmpl w:val="FFFFFFFF"/>
    <w:lvl w:ilvl="0" w:tplc="ABD6ACDC">
      <w:start w:val="1"/>
      <w:numFmt w:val="bullet"/>
      <w:lvlText w:val="·"/>
      <w:lvlJc w:val="left"/>
      <w:pPr>
        <w:ind w:left="720" w:hanging="360"/>
      </w:pPr>
      <w:rPr>
        <w:rFonts w:ascii="Symbol" w:hAnsi="Symbol" w:hint="default"/>
      </w:rPr>
    </w:lvl>
    <w:lvl w:ilvl="1" w:tplc="DF66020C">
      <w:start w:val="1"/>
      <w:numFmt w:val="bullet"/>
      <w:lvlText w:val="o"/>
      <w:lvlJc w:val="left"/>
      <w:pPr>
        <w:ind w:left="1440" w:hanging="360"/>
      </w:pPr>
      <w:rPr>
        <w:rFonts w:ascii="Courier New" w:hAnsi="Courier New" w:hint="default"/>
      </w:rPr>
    </w:lvl>
    <w:lvl w:ilvl="2" w:tplc="E1BA4DE4">
      <w:start w:val="1"/>
      <w:numFmt w:val="bullet"/>
      <w:lvlText w:val=""/>
      <w:lvlJc w:val="left"/>
      <w:pPr>
        <w:ind w:left="2160" w:hanging="360"/>
      </w:pPr>
      <w:rPr>
        <w:rFonts w:ascii="Wingdings" w:hAnsi="Wingdings" w:hint="default"/>
      </w:rPr>
    </w:lvl>
    <w:lvl w:ilvl="3" w:tplc="7444C796">
      <w:start w:val="1"/>
      <w:numFmt w:val="bullet"/>
      <w:lvlText w:val=""/>
      <w:lvlJc w:val="left"/>
      <w:pPr>
        <w:ind w:left="2880" w:hanging="360"/>
      </w:pPr>
      <w:rPr>
        <w:rFonts w:ascii="Symbol" w:hAnsi="Symbol" w:hint="default"/>
      </w:rPr>
    </w:lvl>
    <w:lvl w:ilvl="4" w:tplc="41D01E7A">
      <w:start w:val="1"/>
      <w:numFmt w:val="bullet"/>
      <w:lvlText w:val="o"/>
      <w:lvlJc w:val="left"/>
      <w:pPr>
        <w:ind w:left="3600" w:hanging="360"/>
      </w:pPr>
      <w:rPr>
        <w:rFonts w:ascii="Courier New" w:hAnsi="Courier New" w:hint="default"/>
      </w:rPr>
    </w:lvl>
    <w:lvl w:ilvl="5" w:tplc="8334E7F4">
      <w:start w:val="1"/>
      <w:numFmt w:val="bullet"/>
      <w:lvlText w:val=""/>
      <w:lvlJc w:val="left"/>
      <w:pPr>
        <w:ind w:left="4320" w:hanging="360"/>
      </w:pPr>
      <w:rPr>
        <w:rFonts w:ascii="Wingdings" w:hAnsi="Wingdings" w:hint="default"/>
      </w:rPr>
    </w:lvl>
    <w:lvl w:ilvl="6" w:tplc="42ECD3A2">
      <w:start w:val="1"/>
      <w:numFmt w:val="bullet"/>
      <w:lvlText w:val=""/>
      <w:lvlJc w:val="left"/>
      <w:pPr>
        <w:ind w:left="5040" w:hanging="360"/>
      </w:pPr>
      <w:rPr>
        <w:rFonts w:ascii="Symbol" w:hAnsi="Symbol" w:hint="default"/>
      </w:rPr>
    </w:lvl>
    <w:lvl w:ilvl="7" w:tplc="7A06D87C">
      <w:start w:val="1"/>
      <w:numFmt w:val="bullet"/>
      <w:lvlText w:val="o"/>
      <w:lvlJc w:val="left"/>
      <w:pPr>
        <w:ind w:left="5760" w:hanging="360"/>
      </w:pPr>
      <w:rPr>
        <w:rFonts w:ascii="Courier New" w:hAnsi="Courier New" w:hint="default"/>
      </w:rPr>
    </w:lvl>
    <w:lvl w:ilvl="8" w:tplc="A784DCCE">
      <w:start w:val="1"/>
      <w:numFmt w:val="bullet"/>
      <w:lvlText w:val=""/>
      <w:lvlJc w:val="left"/>
      <w:pPr>
        <w:ind w:left="6480" w:hanging="360"/>
      </w:pPr>
      <w:rPr>
        <w:rFonts w:ascii="Wingdings" w:hAnsi="Wingdings" w:hint="default"/>
      </w:rPr>
    </w:lvl>
  </w:abstractNum>
  <w:abstractNum w:abstractNumId="37" w15:restartNumberingAfterBreak="0">
    <w:nsid w:val="70F3610A"/>
    <w:multiLevelType w:val="hybridMultilevel"/>
    <w:tmpl w:val="A65ED530"/>
    <w:lvl w:ilvl="0" w:tplc="8C80997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523142"/>
    <w:multiLevelType w:val="hybridMultilevel"/>
    <w:tmpl w:val="D4925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33797B"/>
    <w:multiLevelType w:val="hybridMultilevel"/>
    <w:tmpl w:val="745C6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BD71F3"/>
    <w:multiLevelType w:val="hybridMultilevel"/>
    <w:tmpl w:val="83BA0936"/>
    <w:lvl w:ilvl="0" w:tplc="0C090001">
      <w:start w:val="1"/>
      <w:numFmt w:val="bullet"/>
      <w:lvlText w:val=""/>
      <w:lvlJc w:val="left"/>
      <w:pPr>
        <w:ind w:left="720" w:hanging="360"/>
      </w:pPr>
      <w:rPr>
        <w:rFonts w:ascii="Symbol" w:hAnsi="Symbol"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DEE6A11"/>
    <w:multiLevelType w:val="hybridMultilevel"/>
    <w:tmpl w:val="FFFFFFFF"/>
    <w:lvl w:ilvl="0" w:tplc="B226000E">
      <w:start w:val="1"/>
      <w:numFmt w:val="bullet"/>
      <w:lvlText w:val="·"/>
      <w:lvlJc w:val="left"/>
      <w:pPr>
        <w:ind w:left="720" w:hanging="360"/>
      </w:pPr>
      <w:rPr>
        <w:rFonts w:ascii="Symbol" w:hAnsi="Symbol" w:hint="default"/>
      </w:rPr>
    </w:lvl>
    <w:lvl w:ilvl="1" w:tplc="6F488990">
      <w:start w:val="1"/>
      <w:numFmt w:val="bullet"/>
      <w:lvlText w:val="o"/>
      <w:lvlJc w:val="left"/>
      <w:pPr>
        <w:ind w:left="1440" w:hanging="360"/>
      </w:pPr>
      <w:rPr>
        <w:rFonts w:ascii="Courier New" w:hAnsi="Courier New" w:hint="default"/>
      </w:rPr>
    </w:lvl>
    <w:lvl w:ilvl="2" w:tplc="C922BAF4">
      <w:start w:val="1"/>
      <w:numFmt w:val="bullet"/>
      <w:lvlText w:val=""/>
      <w:lvlJc w:val="left"/>
      <w:pPr>
        <w:ind w:left="2160" w:hanging="360"/>
      </w:pPr>
      <w:rPr>
        <w:rFonts w:ascii="Wingdings" w:hAnsi="Wingdings" w:hint="default"/>
      </w:rPr>
    </w:lvl>
    <w:lvl w:ilvl="3" w:tplc="C2B08C34">
      <w:start w:val="1"/>
      <w:numFmt w:val="bullet"/>
      <w:lvlText w:val=""/>
      <w:lvlJc w:val="left"/>
      <w:pPr>
        <w:ind w:left="2880" w:hanging="360"/>
      </w:pPr>
      <w:rPr>
        <w:rFonts w:ascii="Symbol" w:hAnsi="Symbol" w:hint="default"/>
      </w:rPr>
    </w:lvl>
    <w:lvl w:ilvl="4" w:tplc="312A7C72">
      <w:start w:val="1"/>
      <w:numFmt w:val="bullet"/>
      <w:lvlText w:val="o"/>
      <w:lvlJc w:val="left"/>
      <w:pPr>
        <w:ind w:left="3600" w:hanging="360"/>
      </w:pPr>
      <w:rPr>
        <w:rFonts w:ascii="Courier New" w:hAnsi="Courier New" w:hint="default"/>
      </w:rPr>
    </w:lvl>
    <w:lvl w:ilvl="5" w:tplc="A0962C7A">
      <w:start w:val="1"/>
      <w:numFmt w:val="bullet"/>
      <w:lvlText w:val=""/>
      <w:lvlJc w:val="left"/>
      <w:pPr>
        <w:ind w:left="4320" w:hanging="360"/>
      </w:pPr>
      <w:rPr>
        <w:rFonts w:ascii="Wingdings" w:hAnsi="Wingdings" w:hint="default"/>
      </w:rPr>
    </w:lvl>
    <w:lvl w:ilvl="6" w:tplc="925437FA">
      <w:start w:val="1"/>
      <w:numFmt w:val="bullet"/>
      <w:lvlText w:val=""/>
      <w:lvlJc w:val="left"/>
      <w:pPr>
        <w:ind w:left="5040" w:hanging="360"/>
      </w:pPr>
      <w:rPr>
        <w:rFonts w:ascii="Symbol" w:hAnsi="Symbol" w:hint="default"/>
      </w:rPr>
    </w:lvl>
    <w:lvl w:ilvl="7" w:tplc="D804BEA2">
      <w:start w:val="1"/>
      <w:numFmt w:val="bullet"/>
      <w:lvlText w:val="o"/>
      <w:lvlJc w:val="left"/>
      <w:pPr>
        <w:ind w:left="5760" w:hanging="360"/>
      </w:pPr>
      <w:rPr>
        <w:rFonts w:ascii="Courier New" w:hAnsi="Courier New" w:hint="default"/>
      </w:rPr>
    </w:lvl>
    <w:lvl w:ilvl="8" w:tplc="DF8A36A2">
      <w:start w:val="1"/>
      <w:numFmt w:val="bullet"/>
      <w:lvlText w:val=""/>
      <w:lvlJc w:val="left"/>
      <w:pPr>
        <w:ind w:left="6480" w:hanging="360"/>
      </w:pPr>
      <w:rPr>
        <w:rFonts w:ascii="Wingdings" w:hAnsi="Wingdings" w:hint="default"/>
      </w:rPr>
    </w:lvl>
  </w:abstractNum>
  <w:abstractNum w:abstractNumId="42" w15:restartNumberingAfterBreak="0">
    <w:nsid w:val="7E9626E9"/>
    <w:multiLevelType w:val="hybridMultilevel"/>
    <w:tmpl w:val="5A84063E"/>
    <w:styleLink w:val="ZZBullets"/>
    <w:lvl w:ilvl="0" w:tplc="53B84B28">
      <w:start w:val="1"/>
      <w:numFmt w:val="bullet"/>
      <w:pStyle w:val="OWBullet1"/>
      <w:lvlText w:val="•"/>
      <w:lvlJc w:val="left"/>
      <w:pPr>
        <w:ind w:left="397" w:hanging="397"/>
      </w:pPr>
      <w:rPr>
        <w:rFonts w:ascii="Calibri" w:hAnsi="Calibri" w:cs="Times New Roman" w:hint="default"/>
      </w:rPr>
    </w:lvl>
    <w:lvl w:ilvl="1" w:tplc="BA94576A">
      <w:start w:val="1"/>
      <w:numFmt w:val="bullet"/>
      <w:lvlRestart w:val="0"/>
      <w:pStyle w:val="OWBullet2"/>
      <w:lvlText w:val="–"/>
      <w:lvlJc w:val="left"/>
      <w:pPr>
        <w:ind w:left="794" w:hanging="397"/>
      </w:pPr>
      <w:rPr>
        <w:rFonts w:ascii="Calibri" w:hAnsi="Calibri" w:cs="Times New Roman" w:hint="default"/>
      </w:rPr>
    </w:lvl>
    <w:lvl w:ilvl="2" w:tplc="DC44996E">
      <w:start w:val="1"/>
      <w:numFmt w:val="none"/>
      <w:lvlRestart w:val="0"/>
      <w:lvlText w:val=""/>
      <w:lvlJc w:val="left"/>
      <w:pPr>
        <w:ind w:left="0" w:firstLine="0"/>
      </w:pPr>
    </w:lvl>
    <w:lvl w:ilvl="3" w:tplc="BF747A5E">
      <w:start w:val="1"/>
      <w:numFmt w:val="none"/>
      <w:lvlRestart w:val="0"/>
      <w:lvlText w:val=""/>
      <w:lvlJc w:val="left"/>
      <w:pPr>
        <w:ind w:left="0" w:firstLine="0"/>
      </w:pPr>
    </w:lvl>
    <w:lvl w:ilvl="4" w:tplc="0AD2823A">
      <w:start w:val="1"/>
      <w:numFmt w:val="none"/>
      <w:lvlRestart w:val="0"/>
      <w:lvlText w:val=""/>
      <w:lvlJc w:val="left"/>
      <w:pPr>
        <w:ind w:left="0" w:firstLine="0"/>
      </w:pPr>
    </w:lvl>
    <w:lvl w:ilvl="5" w:tplc="8792604A">
      <w:start w:val="1"/>
      <w:numFmt w:val="none"/>
      <w:lvlRestart w:val="0"/>
      <w:lvlText w:val=""/>
      <w:lvlJc w:val="left"/>
      <w:pPr>
        <w:ind w:left="0" w:firstLine="0"/>
      </w:pPr>
    </w:lvl>
    <w:lvl w:ilvl="6" w:tplc="9418FC58">
      <w:start w:val="1"/>
      <w:numFmt w:val="none"/>
      <w:lvlRestart w:val="0"/>
      <w:lvlText w:val=""/>
      <w:lvlJc w:val="left"/>
      <w:pPr>
        <w:ind w:left="0" w:firstLine="0"/>
      </w:pPr>
    </w:lvl>
    <w:lvl w:ilvl="7" w:tplc="42D6870E">
      <w:start w:val="1"/>
      <w:numFmt w:val="none"/>
      <w:lvlRestart w:val="0"/>
      <w:lvlText w:val=""/>
      <w:lvlJc w:val="left"/>
      <w:pPr>
        <w:ind w:left="0" w:firstLine="0"/>
      </w:pPr>
    </w:lvl>
    <w:lvl w:ilvl="8" w:tplc="A45601E8">
      <w:start w:val="1"/>
      <w:numFmt w:val="none"/>
      <w:lvlRestart w:val="0"/>
      <w:lvlText w:val=""/>
      <w:lvlJc w:val="left"/>
      <w:pPr>
        <w:ind w:left="0" w:firstLine="0"/>
      </w:pPr>
    </w:lvl>
  </w:abstractNum>
  <w:num w:numId="1">
    <w:abstractNumId w:val="23"/>
  </w:num>
  <w:num w:numId="2">
    <w:abstractNumId w:val="7"/>
  </w:num>
  <w:num w:numId="3">
    <w:abstractNumId w:val="26"/>
  </w:num>
  <w:num w:numId="4">
    <w:abstractNumId w:val="32"/>
  </w:num>
  <w:num w:numId="5">
    <w:abstractNumId w:val="42"/>
  </w:num>
  <w:num w:numId="6">
    <w:abstractNumId w:val="40"/>
  </w:num>
  <w:num w:numId="7">
    <w:abstractNumId w:val="35"/>
  </w:num>
  <w:num w:numId="8">
    <w:abstractNumId w:val="28"/>
  </w:num>
  <w:num w:numId="9">
    <w:abstractNumId w:val="4"/>
  </w:num>
  <w:num w:numId="10">
    <w:abstractNumId w:val="3"/>
  </w:num>
  <w:num w:numId="11">
    <w:abstractNumId w:val="6"/>
  </w:num>
  <w:num w:numId="12">
    <w:abstractNumId w:val="34"/>
  </w:num>
  <w:num w:numId="13">
    <w:abstractNumId w:val="1"/>
  </w:num>
  <w:num w:numId="14">
    <w:abstractNumId w:val="38"/>
  </w:num>
  <w:num w:numId="15">
    <w:abstractNumId w:val="10"/>
  </w:num>
  <w:num w:numId="16">
    <w:abstractNumId w:val="9"/>
  </w:num>
  <w:num w:numId="17">
    <w:abstractNumId w:val="21"/>
  </w:num>
  <w:num w:numId="18">
    <w:abstractNumId w:val="33"/>
  </w:num>
  <w:num w:numId="19">
    <w:abstractNumId w:val="0"/>
  </w:num>
  <w:num w:numId="20">
    <w:abstractNumId w:val="14"/>
  </w:num>
  <w:num w:numId="21">
    <w:abstractNumId w:val="24"/>
  </w:num>
  <w:num w:numId="22">
    <w:abstractNumId w:val="31"/>
  </w:num>
  <w:num w:numId="23">
    <w:abstractNumId w:val="36"/>
  </w:num>
  <w:num w:numId="24">
    <w:abstractNumId w:val="18"/>
  </w:num>
  <w:num w:numId="25">
    <w:abstractNumId w:val="20"/>
  </w:num>
  <w:num w:numId="26">
    <w:abstractNumId w:val="19"/>
  </w:num>
  <w:num w:numId="27">
    <w:abstractNumId w:val="22"/>
  </w:num>
  <w:num w:numId="28">
    <w:abstractNumId w:val="27"/>
  </w:num>
  <w:num w:numId="29">
    <w:abstractNumId w:val="25"/>
  </w:num>
  <w:num w:numId="30">
    <w:abstractNumId w:val="17"/>
  </w:num>
  <w:num w:numId="31">
    <w:abstractNumId w:val="37"/>
  </w:num>
  <w:num w:numId="32">
    <w:abstractNumId w:val="41"/>
  </w:num>
  <w:num w:numId="33">
    <w:abstractNumId w:val="8"/>
  </w:num>
  <w:num w:numId="34">
    <w:abstractNumId w:val="2"/>
  </w:num>
  <w:num w:numId="35">
    <w:abstractNumId w:val="16"/>
  </w:num>
  <w:num w:numId="36">
    <w:abstractNumId w:val="39"/>
  </w:num>
  <w:num w:numId="37">
    <w:abstractNumId w:val="12"/>
  </w:num>
  <w:num w:numId="38">
    <w:abstractNumId w:val="15"/>
  </w:num>
  <w:num w:numId="39">
    <w:abstractNumId w:val="30"/>
  </w:num>
  <w:num w:numId="40">
    <w:abstractNumId w:val="5"/>
  </w:num>
  <w:num w:numId="41">
    <w:abstractNumId w:val="29"/>
  </w:num>
  <w:num w:numId="42">
    <w:abstractNumId w:val="11"/>
  </w:num>
  <w:num w:numId="43">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CC3"/>
    <w:rsid w:val="00003598"/>
    <w:rsid w:val="00004CC0"/>
    <w:rsid w:val="00006398"/>
    <w:rsid w:val="000076E7"/>
    <w:rsid w:val="000119E3"/>
    <w:rsid w:val="00013BCA"/>
    <w:rsid w:val="00014552"/>
    <w:rsid w:val="00014EE7"/>
    <w:rsid w:val="000239E1"/>
    <w:rsid w:val="00024BB0"/>
    <w:rsid w:val="00025760"/>
    <w:rsid w:val="00025E66"/>
    <w:rsid w:val="00026036"/>
    <w:rsid w:val="00033CC3"/>
    <w:rsid w:val="00037591"/>
    <w:rsid w:val="00040F11"/>
    <w:rsid w:val="00043577"/>
    <w:rsid w:val="00043AC7"/>
    <w:rsid w:val="00044BFB"/>
    <w:rsid w:val="00044D1D"/>
    <w:rsid w:val="00045C74"/>
    <w:rsid w:val="00047E99"/>
    <w:rsid w:val="00053061"/>
    <w:rsid w:val="00053640"/>
    <w:rsid w:val="00055FAF"/>
    <w:rsid w:val="00056F8F"/>
    <w:rsid w:val="00065BC1"/>
    <w:rsid w:val="00073099"/>
    <w:rsid w:val="00074F26"/>
    <w:rsid w:val="000756F0"/>
    <w:rsid w:val="00080069"/>
    <w:rsid w:val="00080A02"/>
    <w:rsid w:val="00080E3D"/>
    <w:rsid w:val="000814CD"/>
    <w:rsid w:val="00082986"/>
    <w:rsid w:val="000849D7"/>
    <w:rsid w:val="00084DD8"/>
    <w:rsid w:val="00085E07"/>
    <w:rsid w:val="00087BAA"/>
    <w:rsid w:val="00094089"/>
    <w:rsid w:val="00095C7B"/>
    <w:rsid w:val="00095F2D"/>
    <w:rsid w:val="000967F2"/>
    <w:rsid w:val="000A1E8A"/>
    <w:rsid w:val="000A46C1"/>
    <w:rsid w:val="000A70CE"/>
    <w:rsid w:val="000A74F6"/>
    <w:rsid w:val="000B2256"/>
    <w:rsid w:val="000B248D"/>
    <w:rsid w:val="000B49D3"/>
    <w:rsid w:val="000C09A8"/>
    <w:rsid w:val="000C15D4"/>
    <w:rsid w:val="000C18DA"/>
    <w:rsid w:val="000C305F"/>
    <w:rsid w:val="000C3290"/>
    <w:rsid w:val="000C4C77"/>
    <w:rsid w:val="000C516D"/>
    <w:rsid w:val="000C552A"/>
    <w:rsid w:val="000C5939"/>
    <w:rsid w:val="000C7B16"/>
    <w:rsid w:val="000D1C49"/>
    <w:rsid w:val="000D2DF8"/>
    <w:rsid w:val="000D321B"/>
    <w:rsid w:val="000D39C8"/>
    <w:rsid w:val="000D5F94"/>
    <w:rsid w:val="000D75C4"/>
    <w:rsid w:val="000E2816"/>
    <w:rsid w:val="000E4301"/>
    <w:rsid w:val="000E59C5"/>
    <w:rsid w:val="000E7140"/>
    <w:rsid w:val="000F11C7"/>
    <w:rsid w:val="000F2016"/>
    <w:rsid w:val="000F25E8"/>
    <w:rsid w:val="000F2919"/>
    <w:rsid w:val="000F3153"/>
    <w:rsid w:val="000F5787"/>
    <w:rsid w:val="000F66D2"/>
    <w:rsid w:val="001009F2"/>
    <w:rsid w:val="00100DE9"/>
    <w:rsid w:val="001019DE"/>
    <w:rsid w:val="00104510"/>
    <w:rsid w:val="00107496"/>
    <w:rsid w:val="00111995"/>
    <w:rsid w:val="00111BB1"/>
    <w:rsid w:val="00112F18"/>
    <w:rsid w:val="001149B1"/>
    <w:rsid w:val="0012069B"/>
    <w:rsid w:val="001212C5"/>
    <w:rsid w:val="00122107"/>
    <w:rsid w:val="00127C9C"/>
    <w:rsid w:val="001301F7"/>
    <w:rsid w:val="001302CF"/>
    <w:rsid w:val="001302EA"/>
    <w:rsid w:val="00133BCC"/>
    <w:rsid w:val="00133F41"/>
    <w:rsid w:val="001343CF"/>
    <w:rsid w:val="00134ABB"/>
    <w:rsid w:val="001367B7"/>
    <w:rsid w:val="00140E68"/>
    <w:rsid w:val="0014687D"/>
    <w:rsid w:val="00153ECC"/>
    <w:rsid w:val="001618CF"/>
    <w:rsid w:val="00162562"/>
    <w:rsid w:val="00162725"/>
    <w:rsid w:val="00162DFD"/>
    <w:rsid w:val="0016510C"/>
    <w:rsid w:val="00166387"/>
    <w:rsid w:val="00166D0C"/>
    <w:rsid w:val="001702F7"/>
    <w:rsid w:val="00171B12"/>
    <w:rsid w:val="001733D8"/>
    <w:rsid w:val="00173865"/>
    <w:rsid w:val="00175AED"/>
    <w:rsid w:val="00176845"/>
    <w:rsid w:val="001777DE"/>
    <w:rsid w:val="00177C08"/>
    <w:rsid w:val="00180308"/>
    <w:rsid w:val="001807C1"/>
    <w:rsid w:val="00180D80"/>
    <w:rsid w:val="0018135D"/>
    <w:rsid w:val="001859B4"/>
    <w:rsid w:val="0018632B"/>
    <w:rsid w:val="00186610"/>
    <w:rsid w:val="00186DC0"/>
    <w:rsid w:val="00186DC8"/>
    <w:rsid w:val="0019708D"/>
    <w:rsid w:val="0019789F"/>
    <w:rsid w:val="001A019D"/>
    <w:rsid w:val="001A319B"/>
    <w:rsid w:val="001A678A"/>
    <w:rsid w:val="001A6F5F"/>
    <w:rsid w:val="001B63A4"/>
    <w:rsid w:val="001B67FB"/>
    <w:rsid w:val="001C3797"/>
    <w:rsid w:val="001C732A"/>
    <w:rsid w:val="001C7CA5"/>
    <w:rsid w:val="001D4A92"/>
    <w:rsid w:val="001D4BB3"/>
    <w:rsid w:val="001D5457"/>
    <w:rsid w:val="001E06B9"/>
    <w:rsid w:val="001E178F"/>
    <w:rsid w:val="001E1BCB"/>
    <w:rsid w:val="001E2C4F"/>
    <w:rsid w:val="001E31A3"/>
    <w:rsid w:val="001E3CD7"/>
    <w:rsid w:val="001E51BA"/>
    <w:rsid w:val="001E6B0D"/>
    <w:rsid w:val="001E71AE"/>
    <w:rsid w:val="001F00DC"/>
    <w:rsid w:val="001F227B"/>
    <w:rsid w:val="001F4CDA"/>
    <w:rsid w:val="001F5DA3"/>
    <w:rsid w:val="001F71ED"/>
    <w:rsid w:val="001F756E"/>
    <w:rsid w:val="00200621"/>
    <w:rsid w:val="00202090"/>
    <w:rsid w:val="0020384F"/>
    <w:rsid w:val="00205E9D"/>
    <w:rsid w:val="00212F47"/>
    <w:rsid w:val="00214B18"/>
    <w:rsid w:val="002150E4"/>
    <w:rsid w:val="00215FED"/>
    <w:rsid w:val="0021634B"/>
    <w:rsid w:val="00217CA3"/>
    <w:rsid w:val="00221B10"/>
    <w:rsid w:val="002228F5"/>
    <w:rsid w:val="00223905"/>
    <w:rsid w:val="002264E9"/>
    <w:rsid w:val="0023105F"/>
    <w:rsid w:val="0023186F"/>
    <w:rsid w:val="0023298E"/>
    <w:rsid w:val="0023443E"/>
    <w:rsid w:val="00234462"/>
    <w:rsid w:val="002367B9"/>
    <w:rsid w:val="00240680"/>
    <w:rsid w:val="00241565"/>
    <w:rsid w:val="00241CEC"/>
    <w:rsid w:val="00242BC3"/>
    <w:rsid w:val="0024401E"/>
    <w:rsid w:val="00244F71"/>
    <w:rsid w:val="00245886"/>
    <w:rsid w:val="00247AAB"/>
    <w:rsid w:val="00251CC7"/>
    <w:rsid w:val="002533DD"/>
    <w:rsid w:val="0025375A"/>
    <w:rsid w:val="00255105"/>
    <w:rsid w:val="00262B53"/>
    <w:rsid w:val="00264205"/>
    <w:rsid w:val="00265614"/>
    <w:rsid w:val="00266FE2"/>
    <w:rsid w:val="002679A3"/>
    <w:rsid w:val="00270CFA"/>
    <w:rsid w:val="002712A4"/>
    <w:rsid w:val="002716AE"/>
    <w:rsid w:val="002721E6"/>
    <w:rsid w:val="002733B2"/>
    <w:rsid w:val="0027423D"/>
    <w:rsid w:val="0027541A"/>
    <w:rsid w:val="00275642"/>
    <w:rsid w:val="0028019F"/>
    <w:rsid w:val="00280F38"/>
    <w:rsid w:val="002813F1"/>
    <w:rsid w:val="0028165C"/>
    <w:rsid w:val="00282FDA"/>
    <w:rsid w:val="00283015"/>
    <w:rsid w:val="002838B0"/>
    <w:rsid w:val="0028588E"/>
    <w:rsid w:val="002861DC"/>
    <w:rsid w:val="002868A7"/>
    <w:rsid w:val="00286E6F"/>
    <w:rsid w:val="00287198"/>
    <w:rsid w:val="002906AF"/>
    <w:rsid w:val="00292DA6"/>
    <w:rsid w:val="00294E02"/>
    <w:rsid w:val="00295866"/>
    <w:rsid w:val="00297151"/>
    <w:rsid w:val="002A47A1"/>
    <w:rsid w:val="002A4A00"/>
    <w:rsid w:val="002A54E6"/>
    <w:rsid w:val="002A55AE"/>
    <w:rsid w:val="002A68EE"/>
    <w:rsid w:val="002A6FD0"/>
    <w:rsid w:val="002B1AC7"/>
    <w:rsid w:val="002B1CA8"/>
    <w:rsid w:val="002B3414"/>
    <w:rsid w:val="002B5405"/>
    <w:rsid w:val="002C1BCE"/>
    <w:rsid w:val="002C6F06"/>
    <w:rsid w:val="002C72CF"/>
    <w:rsid w:val="002D008B"/>
    <w:rsid w:val="002D20BE"/>
    <w:rsid w:val="002D226C"/>
    <w:rsid w:val="002D39EC"/>
    <w:rsid w:val="002D7572"/>
    <w:rsid w:val="002D7ABC"/>
    <w:rsid w:val="002E1E49"/>
    <w:rsid w:val="002E28BD"/>
    <w:rsid w:val="002E372A"/>
    <w:rsid w:val="002E5962"/>
    <w:rsid w:val="002E639E"/>
    <w:rsid w:val="002F278D"/>
    <w:rsid w:val="002F45D6"/>
    <w:rsid w:val="002F48D7"/>
    <w:rsid w:val="002F532B"/>
    <w:rsid w:val="002F574C"/>
    <w:rsid w:val="002F7F63"/>
    <w:rsid w:val="002F7F65"/>
    <w:rsid w:val="00302C66"/>
    <w:rsid w:val="003038AF"/>
    <w:rsid w:val="00304520"/>
    <w:rsid w:val="003063F8"/>
    <w:rsid w:val="00306E02"/>
    <w:rsid w:val="003077D7"/>
    <w:rsid w:val="00310157"/>
    <w:rsid w:val="00313ED5"/>
    <w:rsid w:val="00317416"/>
    <w:rsid w:val="00321774"/>
    <w:rsid w:val="003241EB"/>
    <w:rsid w:val="00324762"/>
    <w:rsid w:val="00324E00"/>
    <w:rsid w:val="0032B45E"/>
    <w:rsid w:val="00330F06"/>
    <w:rsid w:val="00331E07"/>
    <w:rsid w:val="00332900"/>
    <w:rsid w:val="00335C98"/>
    <w:rsid w:val="003363D9"/>
    <w:rsid w:val="00337250"/>
    <w:rsid w:val="0033730D"/>
    <w:rsid w:val="0034197C"/>
    <w:rsid w:val="00343115"/>
    <w:rsid w:val="00344309"/>
    <w:rsid w:val="003447B6"/>
    <w:rsid w:val="003458E7"/>
    <w:rsid w:val="00351BC7"/>
    <w:rsid w:val="00351F88"/>
    <w:rsid w:val="0035225B"/>
    <w:rsid w:val="00353535"/>
    <w:rsid w:val="003555DD"/>
    <w:rsid w:val="00355E2E"/>
    <w:rsid w:val="00355E5D"/>
    <w:rsid w:val="003566ED"/>
    <w:rsid w:val="00356EBF"/>
    <w:rsid w:val="00361111"/>
    <w:rsid w:val="00363A07"/>
    <w:rsid w:val="00364775"/>
    <w:rsid w:val="003654CF"/>
    <w:rsid w:val="00366E99"/>
    <w:rsid w:val="00367220"/>
    <w:rsid w:val="0037014A"/>
    <w:rsid w:val="003702DA"/>
    <w:rsid w:val="00370515"/>
    <w:rsid w:val="00370815"/>
    <w:rsid w:val="00374FDD"/>
    <w:rsid w:val="00383DF7"/>
    <w:rsid w:val="00384571"/>
    <w:rsid w:val="0038596D"/>
    <w:rsid w:val="00386098"/>
    <w:rsid w:val="00390E5A"/>
    <w:rsid w:val="0039115F"/>
    <w:rsid w:val="003917C6"/>
    <w:rsid w:val="0039264F"/>
    <w:rsid w:val="00394286"/>
    <w:rsid w:val="003A0195"/>
    <w:rsid w:val="003A1BCB"/>
    <w:rsid w:val="003A30F4"/>
    <w:rsid w:val="003A57F4"/>
    <w:rsid w:val="003A64BF"/>
    <w:rsid w:val="003B1D9E"/>
    <w:rsid w:val="003B22D1"/>
    <w:rsid w:val="003B23C6"/>
    <w:rsid w:val="003B30EF"/>
    <w:rsid w:val="003B3B76"/>
    <w:rsid w:val="003B3EF2"/>
    <w:rsid w:val="003B6ECD"/>
    <w:rsid w:val="003B7027"/>
    <w:rsid w:val="003B7311"/>
    <w:rsid w:val="003C27FE"/>
    <w:rsid w:val="003C41BB"/>
    <w:rsid w:val="003C421A"/>
    <w:rsid w:val="003C610C"/>
    <w:rsid w:val="003C65E3"/>
    <w:rsid w:val="003D13FE"/>
    <w:rsid w:val="003D1BF9"/>
    <w:rsid w:val="003D26A8"/>
    <w:rsid w:val="003D646C"/>
    <w:rsid w:val="003D6F74"/>
    <w:rsid w:val="003DB832"/>
    <w:rsid w:val="003E0FF6"/>
    <w:rsid w:val="003E17FF"/>
    <w:rsid w:val="003E2CEF"/>
    <w:rsid w:val="003E32DB"/>
    <w:rsid w:val="003E418B"/>
    <w:rsid w:val="003E6320"/>
    <w:rsid w:val="003F0B29"/>
    <w:rsid w:val="003F57B1"/>
    <w:rsid w:val="003F5CA3"/>
    <w:rsid w:val="003F6C33"/>
    <w:rsid w:val="00405092"/>
    <w:rsid w:val="00405408"/>
    <w:rsid w:val="00405A95"/>
    <w:rsid w:val="00406A0B"/>
    <w:rsid w:val="00406E53"/>
    <w:rsid w:val="0041019F"/>
    <w:rsid w:val="00410551"/>
    <w:rsid w:val="004129F0"/>
    <w:rsid w:val="00415A38"/>
    <w:rsid w:val="004206F9"/>
    <w:rsid w:val="0042108E"/>
    <w:rsid w:val="00421F94"/>
    <w:rsid w:val="00423102"/>
    <w:rsid w:val="00423762"/>
    <w:rsid w:val="0043140A"/>
    <w:rsid w:val="00432B00"/>
    <w:rsid w:val="00436247"/>
    <w:rsid w:val="0043693C"/>
    <w:rsid w:val="00440894"/>
    <w:rsid w:val="004419B2"/>
    <w:rsid w:val="00442A75"/>
    <w:rsid w:val="004438CC"/>
    <w:rsid w:val="00445E0C"/>
    <w:rsid w:val="004460EB"/>
    <w:rsid w:val="004467EB"/>
    <w:rsid w:val="00447416"/>
    <w:rsid w:val="00450FBB"/>
    <w:rsid w:val="004514A7"/>
    <w:rsid w:val="00452707"/>
    <w:rsid w:val="00452F0F"/>
    <w:rsid w:val="00453A72"/>
    <w:rsid w:val="0045481A"/>
    <w:rsid w:val="00454CBF"/>
    <w:rsid w:val="004559C2"/>
    <w:rsid w:val="00455A42"/>
    <w:rsid w:val="0045640B"/>
    <w:rsid w:val="004568C2"/>
    <w:rsid w:val="00457419"/>
    <w:rsid w:val="0046171D"/>
    <w:rsid w:val="00462F28"/>
    <w:rsid w:val="00463D25"/>
    <w:rsid w:val="004724D5"/>
    <w:rsid w:val="0047471E"/>
    <w:rsid w:val="00481014"/>
    <w:rsid w:val="00485C70"/>
    <w:rsid w:val="00486366"/>
    <w:rsid w:val="004872EF"/>
    <w:rsid w:val="004876C3"/>
    <w:rsid w:val="0049061E"/>
    <w:rsid w:val="00490809"/>
    <w:rsid w:val="004935F4"/>
    <w:rsid w:val="0049507A"/>
    <w:rsid w:val="00496E7B"/>
    <w:rsid w:val="00497CC0"/>
    <w:rsid w:val="00497DF3"/>
    <w:rsid w:val="004A008F"/>
    <w:rsid w:val="004A05E4"/>
    <w:rsid w:val="004A1080"/>
    <w:rsid w:val="004A1F5F"/>
    <w:rsid w:val="004A2377"/>
    <w:rsid w:val="004A43C1"/>
    <w:rsid w:val="004A4905"/>
    <w:rsid w:val="004A4CA1"/>
    <w:rsid w:val="004B0388"/>
    <w:rsid w:val="004B364F"/>
    <w:rsid w:val="004B43BB"/>
    <w:rsid w:val="004B7A5C"/>
    <w:rsid w:val="004C113A"/>
    <w:rsid w:val="004C2BCC"/>
    <w:rsid w:val="004C31C0"/>
    <w:rsid w:val="004C349A"/>
    <w:rsid w:val="004C5C63"/>
    <w:rsid w:val="004D1D7B"/>
    <w:rsid w:val="004D2545"/>
    <w:rsid w:val="004D372F"/>
    <w:rsid w:val="004D5464"/>
    <w:rsid w:val="004D69B6"/>
    <w:rsid w:val="004D78BE"/>
    <w:rsid w:val="004E43CE"/>
    <w:rsid w:val="004F2E2C"/>
    <w:rsid w:val="004F7C3D"/>
    <w:rsid w:val="00501FF9"/>
    <w:rsid w:val="00503821"/>
    <w:rsid w:val="005054A2"/>
    <w:rsid w:val="0050669A"/>
    <w:rsid w:val="00510BA1"/>
    <w:rsid w:val="00511F9B"/>
    <w:rsid w:val="00513535"/>
    <w:rsid w:val="0051493B"/>
    <w:rsid w:val="00515562"/>
    <w:rsid w:val="005158C2"/>
    <w:rsid w:val="00516038"/>
    <w:rsid w:val="00520BCE"/>
    <w:rsid w:val="00521AA1"/>
    <w:rsid w:val="00521EA3"/>
    <w:rsid w:val="005242BB"/>
    <w:rsid w:val="00526368"/>
    <w:rsid w:val="00526AF8"/>
    <w:rsid w:val="00526B35"/>
    <w:rsid w:val="00530359"/>
    <w:rsid w:val="00530A1B"/>
    <w:rsid w:val="00530AC7"/>
    <w:rsid w:val="00531EF9"/>
    <w:rsid w:val="00532821"/>
    <w:rsid w:val="00532A26"/>
    <w:rsid w:val="00532F3C"/>
    <w:rsid w:val="00533C16"/>
    <w:rsid w:val="0053637B"/>
    <w:rsid w:val="005363D1"/>
    <w:rsid w:val="00537C49"/>
    <w:rsid w:val="00541E9A"/>
    <w:rsid w:val="00542967"/>
    <w:rsid w:val="00545DF2"/>
    <w:rsid w:val="00546751"/>
    <w:rsid w:val="00546A17"/>
    <w:rsid w:val="00550CB9"/>
    <w:rsid w:val="00552A2D"/>
    <w:rsid w:val="00554EAF"/>
    <w:rsid w:val="0055787E"/>
    <w:rsid w:val="00561BD9"/>
    <w:rsid w:val="00562833"/>
    <w:rsid w:val="0057184A"/>
    <w:rsid w:val="0057498A"/>
    <w:rsid w:val="00574CC3"/>
    <w:rsid w:val="00575F7C"/>
    <w:rsid w:val="0057646F"/>
    <w:rsid w:val="00576745"/>
    <w:rsid w:val="00580CA9"/>
    <w:rsid w:val="00581310"/>
    <w:rsid w:val="00584383"/>
    <w:rsid w:val="005863EE"/>
    <w:rsid w:val="00587102"/>
    <w:rsid w:val="00587942"/>
    <w:rsid w:val="00587F5C"/>
    <w:rsid w:val="005916FB"/>
    <w:rsid w:val="00591A53"/>
    <w:rsid w:val="005945B4"/>
    <w:rsid w:val="00596E3C"/>
    <w:rsid w:val="005A0FAF"/>
    <w:rsid w:val="005A2F12"/>
    <w:rsid w:val="005A37F3"/>
    <w:rsid w:val="005A4431"/>
    <w:rsid w:val="005A751D"/>
    <w:rsid w:val="005B1162"/>
    <w:rsid w:val="005B1BAC"/>
    <w:rsid w:val="005C1484"/>
    <w:rsid w:val="005C3017"/>
    <w:rsid w:val="005C350F"/>
    <w:rsid w:val="005C3D65"/>
    <w:rsid w:val="005C4031"/>
    <w:rsid w:val="005C70E3"/>
    <w:rsid w:val="005C70FF"/>
    <w:rsid w:val="005D0123"/>
    <w:rsid w:val="005D0793"/>
    <w:rsid w:val="005D0A9C"/>
    <w:rsid w:val="005D158C"/>
    <w:rsid w:val="005D1BE2"/>
    <w:rsid w:val="005D33CB"/>
    <w:rsid w:val="005D558D"/>
    <w:rsid w:val="005D5747"/>
    <w:rsid w:val="005E24A5"/>
    <w:rsid w:val="005E33F1"/>
    <w:rsid w:val="005E5140"/>
    <w:rsid w:val="005E557A"/>
    <w:rsid w:val="005E6E77"/>
    <w:rsid w:val="005E7464"/>
    <w:rsid w:val="005E764E"/>
    <w:rsid w:val="005E7CCB"/>
    <w:rsid w:val="005F19D5"/>
    <w:rsid w:val="005F678A"/>
    <w:rsid w:val="00601AFC"/>
    <w:rsid w:val="00604A73"/>
    <w:rsid w:val="00604B50"/>
    <w:rsid w:val="00610015"/>
    <w:rsid w:val="0061006A"/>
    <w:rsid w:val="0061049B"/>
    <w:rsid w:val="00610DC1"/>
    <w:rsid w:val="00615D01"/>
    <w:rsid w:val="00616CA1"/>
    <w:rsid w:val="006174A9"/>
    <w:rsid w:val="00624874"/>
    <w:rsid w:val="006251FC"/>
    <w:rsid w:val="00626C56"/>
    <w:rsid w:val="0063026D"/>
    <w:rsid w:val="00630407"/>
    <w:rsid w:val="00630B69"/>
    <w:rsid w:val="00631FCA"/>
    <w:rsid w:val="006336D6"/>
    <w:rsid w:val="00635828"/>
    <w:rsid w:val="00635F33"/>
    <w:rsid w:val="00637F2D"/>
    <w:rsid w:val="00644EFF"/>
    <w:rsid w:val="006457DA"/>
    <w:rsid w:val="00646342"/>
    <w:rsid w:val="00646DD9"/>
    <w:rsid w:val="00654C97"/>
    <w:rsid w:val="00657792"/>
    <w:rsid w:val="00657BFB"/>
    <w:rsid w:val="00661565"/>
    <w:rsid w:val="00661581"/>
    <w:rsid w:val="00662A2B"/>
    <w:rsid w:val="00663651"/>
    <w:rsid w:val="006650C3"/>
    <w:rsid w:val="00665911"/>
    <w:rsid w:val="00665B65"/>
    <w:rsid w:val="006666F0"/>
    <w:rsid w:val="00666ADD"/>
    <w:rsid w:val="00671348"/>
    <w:rsid w:val="0067276B"/>
    <w:rsid w:val="0067320E"/>
    <w:rsid w:val="0067386B"/>
    <w:rsid w:val="0067568D"/>
    <w:rsid w:val="00675946"/>
    <w:rsid w:val="006765F7"/>
    <w:rsid w:val="0067794C"/>
    <w:rsid w:val="0068120C"/>
    <w:rsid w:val="00682348"/>
    <w:rsid w:val="006837F0"/>
    <w:rsid w:val="00684F30"/>
    <w:rsid w:val="00686893"/>
    <w:rsid w:val="0068752D"/>
    <w:rsid w:val="006923F3"/>
    <w:rsid w:val="0069260D"/>
    <w:rsid w:val="00696CC0"/>
    <w:rsid w:val="006A0587"/>
    <w:rsid w:val="006A1466"/>
    <w:rsid w:val="006A18F9"/>
    <w:rsid w:val="006A278D"/>
    <w:rsid w:val="006A5370"/>
    <w:rsid w:val="006A70DD"/>
    <w:rsid w:val="006B07CE"/>
    <w:rsid w:val="006B08A4"/>
    <w:rsid w:val="006B0B98"/>
    <w:rsid w:val="006B10B5"/>
    <w:rsid w:val="006B2D15"/>
    <w:rsid w:val="006B530E"/>
    <w:rsid w:val="006B6CCF"/>
    <w:rsid w:val="006C0F66"/>
    <w:rsid w:val="006C0FCE"/>
    <w:rsid w:val="006C638D"/>
    <w:rsid w:val="006C671E"/>
    <w:rsid w:val="006D07A7"/>
    <w:rsid w:val="006D1D1B"/>
    <w:rsid w:val="006D2067"/>
    <w:rsid w:val="006D30BC"/>
    <w:rsid w:val="006D722C"/>
    <w:rsid w:val="006D78F4"/>
    <w:rsid w:val="006E3B22"/>
    <w:rsid w:val="006E7388"/>
    <w:rsid w:val="006E7DD2"/>
    <w:rsid w:val="006F1A3A"/>
    <w:rsid w:val="006F264F"/>
    <w:rsid w:val="006F6113"/>
    <w:rsid w:val="006F77D4"/>
    <w:rsid w:val="006F7B52"/>
    <w:rsid w:val="00700C1D"/>
    <w:rsid w:val="00703AC9"/>
    <w:rsid w:val="007049F8"/>
    <w:rsid w:val="00706CD3"/>
    <w:rsid w:val="00707E6F"/>
    <w:rsid w:val="00707F31"/>
    <w:rsid w:val="0071186A"/>
    <w:rsid w:val="00712627"/>
    <w:rsid w:val="00712FD4"/>
    <w:rsid w:val="00713D51"/>
    <w:rsid w:val="007156BF"/>
    <w:rsid w:val="00715CA1"/>
    <w:rsid w:val="007169D9"/>
    <w:rsid w:val="007208D7"/>
    <w:rsid w:val="007218BF"/>
    <w:rsid w:val="00721F35"/>
    <w:rsid w:val="00723376"/>
    <w:rsid w:val="00723A66"/>
    <w:rsid w:val="00723F88"/>
    <w:rsid w:val="007264F7"/>
    <w:rsid w:val="00727CEC"/>
    <w:rsid w:val="007339FD"/>
    <w:rsid w:val="00733BD0"/>
    <w:rsid w:val="00735C90"/>
    <w:rsid w:val="007365A7"/>
    <w:rsid w:val="00737B47"/>
    <w:rsid w:val="007403B8"/>
    <w:rsid w:val="00741395"/>
    <w:rsid w:val="007418A9"/>
    <w:rsid w:val="00743B7D"/>
    <w:rsid w:val="00745E27"/>
    <w:rsid w:val="007506E5"/>
    <w:rsid w:val="007540B2"/>
    <w:rsid w:val="00756093"/>
    <w:rsid w:val="007666D3"/>
    <w:rsid w:val="00766C57"/>
    <w:rsid w:val="00770E47"/>
    <w:rsid w:val="0077281D"/>
    <w:rsid w:val="00772A25"/>
    <w:rsid w:val="007731B4"/>
    <w:rsid w:val="007732F6"/>
    <w:rsid w:val="00773BDC"/>
    <w:rsid w:val="00774701"/>
    <w:rsid w:val="00775B87"/>
    <w:rsid w:val="00775EF1"/>
    <w:rsid w:val="00776F6E"/>
    <w:rsid w:val="0077711F"/>
    <w:rsid w:val="007801EB"/>
    <w:rsid w:val="0078089C"/>
    <w:rsid w:val="00783C73"/>
    <w:rsid w:val="00786EA1"/>
    <w:rsid w:val="00786F66"/>
    <w:rsid w:val="00787429"/>
    <w:rsid w:val="00791A96"/>
    <w:rsid w:val="00794655"/>
    <w:rsid w:val="00795629"/>
    <w:rsid w:val="0079612A"/>
    <w:rsid w:val="007962FB"/>
    <w:rsid w:val="00796833"/>
    <w:rsid w:val="00796994"/>
    <w:rsid w:val="007A30CD"/>
    <w:rsid w:val="007A32E1"/>
    <w:rsid w:val="007A34A2"/>
    <w:rsid w:val="007A3D28"/>
    <w:rsid w:val="007A515D"/>
    <w:rsid w:val="007A520E"/>
    <w:rsid w:val="007A6206"/>
    <w:rsid w:val="007B4D3F"/>
    <w:rsid w:val="007B55E0"/>
    <w:rsid w:val="007B6392"/>
    <w:rsid w:val="007B6D17"/>
    <w:rsid w:val="007C0962"/>
    <w:rsid w:val="007C1E2E"/>
    <w:rsid w:val="007C2148"/>
    <w:rsid w:val="007C6FA6"/>
    <w:rsid w:val="007D0947"/>
    <w:rsid w:val="007D0D79"/>
    <w:rsid w:val="007D13BA"/>
    <w:rsid w:val="007D49A1"/>
    <w:rsid w:val="007E0149"/>
    <w:rsid w:val="007E34A7"/>
    <w:rsid w:val="007E41E4"/>
    <w:rsid w:val="007E6D62"/>
    <w:rsid w:val="007E70CB"/>
    <w:rsid w:val="007F0334"/>
    <w:rsid w:val="007F1F94"/>
    <w:rsid w:val="007F3891"/>
    <w:rsid w:val="007F3FDC"/>
    <w:rsid w:val="007F4396"/>
    <w:rsid w:val="007F46BA"/>
    <w:rsid w:val="007F47C1"/>
    <w:rsid w:val="007F545F"/>
    <w:rsid w:val="007F6FF7"/>
    <w:rsid w:val="007F7006"/>
    <w:rsid w:val="00801A4A"/>
    <w:rsid w:val="00801DBF"/>
    <w:rsid w:val="0080326D"/>
    <w:rsid w:val="0080594E"/>
    <w:rsid w:val="00805E5F"/>
    <w:rsid w:val="008066F5"/>
    <w:rsid w:val="00807196"/>
    <w:rsid w:val="008102CE"/>
    <w:rsid w:val="00810EC5"/>
    <w:rsid w:val="00811115"/>
    <w:rsid w:val="00812BA8"/>
    <w:rsid w:val="0081487E"/>
    <w:rsid w:val="0081533D"/>
    <w:rsid w:val="00815C8E"/>
    <w:rsid w:val="0081620A"/>
    <w:rsid w:val="0081621C"/>
    <w:rsid w:val="00817852"/>
    <w:rsid w:val="00820115"/>
    <w:rsid w:val="00821ED9"/>
    <w:rsid w:val="008223B0"/>
    <w:rsid w:val="008253E9"/>
    <w:rsid w:val="00834093"/>
    <w:rsid w:val="00835469"/>
    <w:rsid w:val="008357AA"/>
    <w:rsid w:val="00835E0E"/>
    <w:rsid w:val="00837C1E"/>
    <w:rsid w:val="008418C9"/>
    <w:rsid w:val="0084276C"/>
    <w:rsid w:val="00847BFC"/>
    <w:rsid w:val="008507E5"/>
    <w:rsid w:val="00851946"/>
    <w:rsid w:val="008527D9"/>
    <w:rsid w:val="00860248"/>
    <w:rsid w:val="008605A3"/>
    <w:rsid w:val="008606C3"/>
    <w:rsid w:val="00866D9A"/>
    <w:rsid w:val="008703FA"/>
    <w:rsid w:val="00871617"/>
    <w:rsid w:val="00872140"/>
    <w:rsid w:val="008757C7"/>
    <w:rsid w:val="008802A1"/>
    <w:rsid w:val="008803DC"/>
    <w:rsid w:val="00881E9A"/>
    <w:rsid w:val="00882050"/>
    <w:rsid w:val="0088226B"/>
    <w:rsid w:val="00882365"/>
    <w:rsid w:val="008830F4"/>
    <w:rsid w:val="0088426B"/>
    <w:rsid w:val="008858D6"/>
    <w:rsid w:val="00887FAE"/>
    <w:rsid w:val="0089174C"/>
    <w:rsid w:val="008927BF"/>
    <w:rsid w:val="00892E43"/>
    <w:rsid w:val="008949D4"/>
    <w:rsid w:val="00896976"/>
    <w:rsid w:val="008A17BC"/>
    <w:rsid w:val="008A1EAB"/>
    <w:rsid w:val="008A2DED"/>
    <w:rsid w:val="008A324C"/>
    <w:rsid w:val="008A33A5"/>
    <w:rsid w:val="008A562E"/>
    <w:rsid w:val="008B27C3"/>
    <w:rsid w:val="008C06B3"/>
    <w:rsid w:val="008C25A4"/>
    <w:rsid w:val="008C6D1B"/>
    <w:rsid w:val="008C75A5"/>
    <w:rsid w:val="008D3656"/>
    <w:rsid w:val="008D4D98"/>
    <w:rsid w:val="008E0151"/>
    <w:rsid w:val="008E0740"/>
    <w:rsid w:val="008E09C5"/>
    <w:rsid w:val="008E1AF4"/>
    <w:rsid w:val="008E1C9F"/>
    <w:rsid w:val="008E31B2"/>
    <w:rsid w:val="008E5547"/>
    <w:rsid w:val="008E6406"/>
    <w:rsid w:val="008E698A"/>
    <w:rsid w:val="008F00E1"/>
    <w:rsid w:val="008F079B"/>
    <w:rsid w:val="008F6E24"/>
    <w:rsid w:val="008F77D0"/>
    <w:rsid w:val="008F7D17"/>
    <w:rsid w:val="00902C21"/>
    <w:rsid w:val="009050F6"/>
    <w:rsid w:val="00910AB8"/>
    <w:rsid w:val="00912B60"/>
    <w:rsid w:val="009172DE"/>
    <w:rsid w:val="0092033B"/>
    <w:rsid w:val="00921E4B"/>
    <w:rsid w:val="009226AC"/>
    <w:rsid w:val="0092576D"/>
    <w:rsid w:val="0092680A"/>
    <w:rsid w:val="0093296A"/>
    <w:rsid w:val="009335BB"/>
    <w:rsid w:val="0093624E"/>
    <w:rsid w:val="009410E3"/>
    <w:rsid w:val="00941CA1"/>
    <w:rsid w:val="00943202"/>
    <w:rsid w:val="00943759"/>
    <w:rsid w:val="00943A40"/>
    <w:rsid w:val="009454FB"/>
    <w:rsid w:val="009615EA"/>
    <w:rsid w:val="009624FB"/>
    <w:rsid w:val="0096252A"/>
    <w:rsid w:val="00965FFB"/>
    <w:rsid w:val="00966FD1"/>
    <w:rsid w:val="009708CB"/>
    <w:rsid w:val="0097114B"/>
    <w:rsid w:val="0097194A"/>
    <w:rsid w:val="00973573"/>
    <w:rsid w:val="00977168"/>
    <w:rsid w:val="00977CBE"/>
    <w:rsid w:val="009800C1"/>
    <w:rsid w:val="00980EE0"/>
    <w:rsid w:val="0098173F"/>
    <w:rsid w:val="00981914"/>
    <w:rsid w:val="0098234D"/>
    <w:rsid w:val="0098434D"/>
    <w:rsid w:val="0098507C"/>
    <w:rsid w:val="0098526D"/>
    <w:rsid w:val="0098661F"/>
    <w:rsid w:val="00986B43"/>
    <w:rsid w:val="00990332"/>
    <w:rsid w:val="0099119B"/>
    <w:rsid w:val="00991591"/>
    <w:rsid w:val="00994F52"/>
    <w:rsid w:val="00997039"/>
    <w:rsid w:val="00997516"/>
    <w:rsid w:val="00997DAF"/>
    <w:rsid w:val="009A27CF"/>
    <w:rsid w:val="009A3392"/>
    <w:rsid w:val="009A62C6"/>
    <w:rsid w:val="009A7021"/>
    <w:rsid w:val="009B0D6C"/>
    <w:rsid w:val="009B293A"/>
    <w:rsid w:val="009B3C8C"/>
    <w:rsid w:val="009B41AB"/>
    <w:rsid w:val="009B4C1E"/>
    <w:rsid w:val="009B4E83"/>
    <w:rsid w:val="009B5935"/>
    <w:rsid w:val="009B5C95"/>
    <w:rsid w:val="009C1124"/>
    <w:rsid w:val="009C123F"/>
    <w:rsid w:val="009C4285"/>
    <w:rsid w:val="009C4317"/>
    <w:rsid w:val="009C76FA"/>
    <w:rsid w:val="009D209E"/>
    <w:rsid w:val="009D2791"/>
    <w:rsid w:val="009D291C"/>
    <w:rsid w:val="009D3439"/>
    <w:rsid w:val="009D5D6C"/>
    <w:rsid w:val="009D7AC2"/>
    <w:rsid w:val="009E1A9A"/>
    <w:rsid w:val="009E250C"/>
    <w:rsid w:val="009E3D53"/>
    <w:rsid w:val="009E4612"/>
    <w:rsid w:val="009E7256"/>
    <w:rsid w:val="009E76BA"/>
    <w:rsid w:val="009F021B"/>
    <w:rsid w:val="009F1638"/>
    <w:rsid w:val="009F1FDE"/>
    <w:rsid w:val="009F22A6"/>
    <w:rsid w:val="009F3619"/>
    <w:rsid w:val="009F5667"/>
    <w:rsid w:val="009F7D3E"/>
    <w:rsid w:val="00A04E0A"/>
    <w:rsid w:val="00A0537A"/>
    <w:rsid w:val="00A10A13"/>
    <w:rsid w:val="00A16B5C"/>
    <w:rsid w:val="00A22DDA"/>
    <w:rsid w:val="00A2473F"/>
    <w:rsid w:val="00A24C9B"/>
    <w:rsid w:val="00A25909"/>
    <w:rsid w:val="00A26ADD"/>
    <w:rsid w:val="00A337BB"/>
    <w:rsid w:val="00A340DB"/>
    <w:rsid w:val="00A3466E"/>
    <w:rsid w:val="00A3583C"/>
    <w:rsid w:val="00A369C0"/>
    <w:rsid w:val="00A36CD0"/>
    <w:rsid w:val="00A403F4"/>
    <w:rsid w:val="00A40726"/>
    <w:rsid w:val="00A4117E"/>
    <w:rsid w:val="00A44027"/>
    <w:rsid w:val="00A44966"/>
    <w:rsid w:val="00A502CC"/>
    <w:rsid w:val="00A54C84"/>
    <w:rsid w:val="00A54CF4"/>
    <w:rsid w:val="00A56E6F"/>
    <w:rsid w:val="00A57F5C"/>
    <w:rsid w:val="00A607EA"/>
    <w:rsid w:val="00A636FB"/>
    <w:rsid w:val="00A63C79"/>
    <w:rsid w:val="00A66C56"/>
    <w:rsid w:val="00A71BE1"/>
    <w:rsid w:val="00A74AD1"/>
    <w:rsid w:val="00A82F64"/>
    <w:rsid w:val="00A836DB"/>
    <w:rsid w:val="00A86C72"/>
    <w:rsid w:val="00A87C70"/>
    <w:rsid w:val="00A921A2"/>
    <w:rsid w:val="00A932AD"/>
    <w:rsid w:val="00A94F57"/>
    <w:rsid w:val="00A977B5"/>
    <w:rsid w:val="00AA1643"/>
    <w:rsid w:val="00AA1FED"/>
    <w:rsid w:val="00AA2E10"/>
    <w:rsid w:val="00AA42A5"/>
    <w:rsid w:val="00AA73BE"/>
    <w:rsid w:val="00AA7C69"/>
    <w:rsid w:val="00AA7CDD"/>
    <w:rsid w:val="00AB1311"/>
    <w:rsid w:val="00AB183E"/>
    <w:rsid w:val="00AB2952"/>
    <w:rsid w:val="00AB2DB5"/>
    <w:rsid w:val="00AB38E7"/>
    <w:rsid w:val="00AB55E3"/>
    <w:rsid w:val="00AB6967"/>
    <w:rsid w:val="00AB6D73"/>
    <w:rsid w:val="00AB6DC4"/>
    <w:rsid w:val="00AB70A4"/>
    <w:rsid w:val="00AB79AC"/>
    <w:rsid w:val="00AC056D"/>
    <w:rsid w:val="00AC0742"/>
    <w:rsid w:val="00AC08C4"/>
    <w:rsid w:val="00AC223D"/>
    <w:rsid w:val="00AC41AB"/>
    <w:rsid w:val="00AC4A1C"/>
    <w:rsid w:val="00AC6511"/>
    <w:rsid w:val="00AC6DF1"/>
    <w:rsid w:val="00AD3BD2"/>
    <w:rsid w:val="00AD70A2"/>
    <w:rsid w:val="00AE15E4"/>
    <w:rsid w:val="00AE237D"/>
    <w:rsid w:val="00AE2458"/>
    <w:rsid w:val="00AE4C1F"/>
    <w:rsid w:val="00AE5006"/>
    <w:rsid w:val="00AE7B4B"/>
    <w:rsid w:val="00AF339B"/>
    <w:rsid w:val="00AF3871"/>
    <w:rsid w:val="00AF58A4"/>
    <w:rsid w:val="00AF734B"/>
    <w:rsid w:val="00AF77B5"/>
    <w:rsid w:val="00B01C63"/>
    <w:rsid w:val="00B023F4"/>
    <w:rsid w:val="00B02427"/>
    <w:rsid w:val="00B03D94"/>
    <w:rsid w:val="00B05482"/>
    <w:rsid w:val="00B06480"/>
    <w:rsid w:val="00B131F6"/>
    <w:rsid w:val="00B14CD8"/>
    <w:rsid w:val="00B1740E"/>
    <w:rsid w:val="00B17C23"/>
    <w:rsid w:val="00B208C1"/>
    <w:rsid w:val="00B21DAC"/>
    <w:rsid w:val="00B224FC"/>
    <w:rsid w:val="00B24626"/>
    <w:rsid w:val="00B264E3"/>
    <w:rsid w:val="00B2659F"/>
    <w:rsid w:val="00B27541"/>
    <w:rsid w:val="00B27C78"/>
    <w:rsid w:val="00B300B3"/>
    <w:rsid w:val="00B3021E"/>
    <w:rsid w:val="00B30E58"/>
    <w:rsid w:val="00B3212C"/>
    <w:rsid w:val="00B32750"/>
    <w:rsid w:val="00B3384A"/>
    <w:rsid w:val="00B33FFD"/>
    <w:rsid w:val="00B34D45"/>
    <w:rsid w:val="00B4087D"/>
    <w:rsid w:val="00B43B5C"/>
    <w:rsid w:val="00B45CB1"/>
    <w:rsid w:val="00B46FBB"/>
    <w:rsid w:val="00B51D27"/>
    <w:rsid w:val="00B544E2"/>
    <w:rsid w:val="00B5572A"/>
    <w:rsid w:val="00B55CAA"/>
    <w:rsid w:val="00B57562"/>
    <w:rsid w:val="00B6014B"/>
    <w:rsid w:val="00B60CDD"/>
    <w:rsid w:val="00B61F1A"/>
    <w:rsid w:val="00B63A48"/>
    <w:rsid w:val="00B63F09"/>
    <w:rsid w:val="00B64B4B"/>
    <w:rsid w:val="00B64E83"/>
    <w:rsid w:val="00B719E3"/>
    <w:rsid w:val="00B725A5"/>
    <w:rsid w:val="00B73C6C"/>
    <w:rsid w:val="00B7446B"/>
    <w:rsid w:val="00B75C37"/>
    <w:rsid w:val="00B760C4"/>
    <w:rsid w:val="00B81CCE"/>
    <w:rsid w:val="00B81FFB"/>
    <w:rsid w:val="00B821D5"/>
    <w:rsid w:val="00B82768"/>
    <w:rsid w:val="00B83C70"/>
    <w:rsid w:val="00B84799"/>
    <w:rsid w:val="00B86541"/>
    <w:rsid w:val="00B868BD"/>
    <w:rsid w:val="00B87726"/>
    <w:rsid w:val="00B9154C"/>
    <w:rsid w:val="00B91759"/>
    <w:rsid w:val="00B95B5D"/>
    <w:rsid w:val="00B96A46"/>
    <w:rsid w:val="00B97616"/>
    <w:rsid w:val="00BA16EC"/>
    <w:rsid w:val="00BA3C3C"/>
    <w:rsid w:val="00BA3E71"/>
    <w:rsid w:val="00BB0292"/>
    <w:rsid w:val="00BB26E3"/>
    <w:rsid w:val="00BB48B1"/>
    <w:rsid w:val="00BB7AB0"/>
    <w:rsid w:val="00BC0649"/>
    <w:rsid w:val="00BC196B"/>
    <w:rsid w:val="00BC2240"/>
    <w:rsid w:val="00BC25AD"/>
    <w:rsid w:val="00BC2D2E"/>
    <w:rsid w:val="00BC2F8D"/>
    <w:rsid w:val="00BC32CD"/>
    <w:rsid w:val="00BC3B09"/>
    <w:rsid w:val="00BC50CC"/>
    <w:rsid w:val="00BC596F"/>
    <w:rsid w:val="00BC5CDD"/>
    <w:rsid w:val="00BD5475"/>
    <w:rsid w:val="00BD69C9"/>
    <w:rsid w:val="00BE3D26"/>
    <w:rsid w:val="00BE4045"/>
    <w:rsid w:val="00BE7BFA"/>
    <w:rsid w:val="00BF26AF"/>
    <w:rsid w:val="00BF2880"/>
    <w:rsid w:val="00BF2D5E"/>
    <w:rsid w:val="00BF312B"/>
    <w:rsid w:val="00BF34EF"/>
    <w:rsid w:val="00BF3C0E"/>
    <w:rsid w:val="00BF51A6"/>
    <w:rsid w:val="00BF5F00"/>
    <w:rsid w:val="00C05EDF"/>
    <w:rsid w:val="00C100EA"/>
    <w:rsid w:val="00C104F5"/>
    <w:rsid w:val="00C1135B"/>
    <w:rsid w:val="00C13A4A"/>
    <w:rsid w:val="00C17509"/>
    <w:rsid w:val="00C2048D"/>
    <w:rsid w:val="00C20DF6"/>
    <w:rsid w:val="00C21E45"/>
    <w:rsid w:val="00C2268C"/>
    <w:rsid w:val="00C22E23"/>
    <w:rsid w:val="00C23324"/>
    <w:rsid w:val="00C32272"/>
    <w:rsid w:val="00C3236C"/>
    <w:rsid w:val="00C33A37"/>
    <w:rsid w:val="00C33C8C"/>
    <w:rsid w:val="00C35B8B"/>
    <w:rsid w:val="00C368C4"/>
    <w:rsid w:val="00C370FE"/>
    <w:rsid w:val="00C37849"/>
    <w:rsid w:val="00C40C46"/>
    <w:rsid w:val="00C417D4"/>
    <w:rsid w:val="00C423F8"/>
    <w:rsid w:val="00C42B3B"/>
    <w:rsid w:val="00C46C68"/>
    <w:rsid w:val="00C5089D"/>
    <w:rsid w:val="00C510D9"/>
    <w:rsid w:val="00C57347"/>
    <w:rsid w:val="00C57B43"/>
    <w:rsid w:val="00C608B0"/>
    <w:rsid w:val="00C703BB"/>
    <w:rsid w:val="00C72042"/>
    <w:rsid w:val="00C72B36"/>
    <w:rsid w:val="00C72F1F"/>
    <w:rsid w:val="00C74B2C"/>
    <w:rsid w:val="00C7514C"/>
    <w:rsid w:val="00C7667F"/>
    <w:rsid w:val="00C81138"/>
    <w:rsid w:val="00C81B72"/>
    <w:rsid w:val="00C83206"/>
    <w:rsid w:val="00C83CFA"/>
    <w:rsid w:val="00C85EC5"/>
    <w:rsid w:val="00C90F6E"/>
    <w:rsid w:val="00C91C2E"/>
    <w:rsid w:val="00C95A62"/>
    <w:rsid w:val="00C96037"/>
    <w:rsid w:val="00C96657"/>
    <w:rsid w:val="00C97CAC"/>
    <w:rsid w:val="00CA057D"/>
    <w:rsid w:val="00CA2139"/>
    <w:rsid w:val="00CA2EC8"/>
    <w:rsid w:val="00CA37D7"/>
    <w:rsid w:val="00CA4563"/>
    <w:rsid w:val="00CB0DB6"/>
    <w:rsid w:val="00CB165F"/>
    <w:rsid w:val="00CB2F34"/>
    <w:rsid w:val="00CB3A69"/>
    <w:rsid w:val="00CB4BF1"/>
    <w:rsid w:val="00CB6085"/>
    <w:rsid w:val="00CB65A5"/>
    <w:rsid w:val="00CB6EFA"/>
    <w:rsid w:val="00CB7A0A"/>
    <w:rsid w:val="00CC05DE"/>
    <w:rsid w:val="00CC0CD3"/>
    <w:rsid w:val="00CC2FE9"/>
    <w:rsid w:val="00CC300F"/>
    <w:rsid w:val="00CC3950"/>
    <w:rsid w:val="00CC46F8"/>
    <w:rsid w:val="00CC66FC"/>
    <w:rsid w:val="00CD4E0A"/>
    <w:rsid w:val="00CD5632"/>
    <w:rsid w:val="00CD5FB2"/>
    <w:rsid w:val="00CD6D3A"/>
    <w:rsid w:val="00CE2111"/>
    <w:rsid w:val="00CE3B00"/>
    <w:rsid w:val="00CE4322"/>
    <w:rsid w:val="00CE4376"/>
    <w:rsid w:val="00CE4AE9"/>
    <w:rsid w:val="00CE4BE5"/>
    <w:rsid w:val="00CE69CB"/>
    <w:rsid w:val="00CF079F"/>
    <w:rsid w:val="00CF08DB"/>
    <w:rsid w:val="00CF2DD7"/>
    <w:rsid w:val="00CF68D1"/>
    <w:rsid w:val="00CF6A79"/>
    <w:rsid w:val="00CF73D7"/>
    <w:rsid w:val="00D019CE"/>
    <w:rsid w:val="00D030C9"/>
    <w:rsid w:val="00D052C4"/>
    <w:rsid w:val="00D070F7"/>
    <w:rsid w:val="00D1131C"/>
    <w:rsid w:val="00D122D3"/>
    <w:rsid w:val="00D13078"/>
    <w:rsid w:val="00D131F3"/>
    <w:rsid w:val="00D15459"/>
    <w:rsid w:val="00D21CC0"/>
    <w:rsid w:val="00D26CB3"/>
    <w:rsid w:val="00D27C2F"/>
    <w:rsid w:val="00D3139C"/>
    <w:rsid w:val="00D31DF0"/>
    <w:rsid w:val="00D35ADB"/>
    <w:rsid w:val="00D36704"/>
    <w:rsid w:val="00D41898"/>
    <w:rsid w:val="00D41DCB"/>
    <w:rsid w:val="00D44B01"/>
    <w:rsid w:val="00D4696F"/>
    <w:rsid w:val="00D55397"/>
    <w:rsid w:val="00D57356"/>
    <w:rsid w:val="00D574BB"/>
    <w:rsid w:val="00D60166"/>
    <w:rsid w:val="00D60217"/>
    <w:rsid w:val="00D60419"/>
    <w:rsid w:val="00D6061A"/>
    <w:rsid w:val="00D61972"/>
    <w:rsid w:val="00D62762"/>
    <w:rsid w:val="00D63A65"/>
    <w:rsid w:val="00D64558"/>
    <w:rsid w:val="00D6758B"/>
    <w:rsid w:val="00D67EF7"/>
    <w:rsid w:val="00D703A0"/>
    <w:rsid w:val="00D72F01"/>
    <w:rsid w:val="00D73CB0"/>
    <w:rsid w:val="00D807DE"/>
    <w:rsid w:val="00D8319A"/>
    <w:rsid w:val="00D866B8"/>
    <w:rsid w:val="00D874A7"/>
    <w:rsid w:val="00D92E93"/>
    <w:rsid w:val="00D93800"/>
    <w:rsid w:val="00D9566C"/>
    <w:rsid w:val="00DA2755"/>
    <w:rsid w:val="00DA307B"/>
    <w:rsid w:val="00DA39D7"/>
    <w:rsid w:val="00DA5C37"/>
    <w:rsid w:val="00DB02D5"/>
    <w:rsid w:val="00DB0A88"/>
    <w:rsid w:val="00DB3E09"/>
    <w:rsid w:val="00DB4813"/>
    <w:rsid w:val="00DB4998"/>
    <w:rsid w:val="00DB5C2A"/>
    <w:rsid w:val="00DB74B5"/>
    <w:rsid w:val="00DC1F73"/>
    <w:rsid w:val="00DC25BE"/>
    <w:rsid w:val="00DC4004"/>
    <w:rsid w:val="00DD017B"/>
    <w:rsid w:val="00DD0181"/>
    <w:rsid w:val="00DD1686"/>
    <w:rsid w:val="00DD19B6"/>
    <w:rsid w:val="00DD2698"/>
    <w:rsid w:val="00DD3A22"/>
    <w:rsid w:val="00DD75DD"/>
    <w:rsid w:val="00DE1A64"/>
    <w:rsid w:val="00DE26BC"/>
    <w:rsid w:val="00DE4C3B"/>
    <w:rsid w:val="00DE5E20"/>
    <w:rsid w:val="00DE7603"/>
    <w:rsid w:val="00DE764B"/>
    <w:rsid w:val="00DF0E2C"/>
    <w:rsid w:val="00DF15F9"/>
    <w:rsid w:val="00DF162F"/>
    <w:rsid w:val="00DF1891"/>
    <w:rsid w:val="00DF396F"/>
    <w:rsid w:val="00DF43A5"/>
    <w:rsid w:val="00E056A6"/>
    <w:rsid w:val="00E07C2D"/>
    <w:rsid w:val="00E132AC"/>
    <w:rsid w:val="00E13A4E"/>
    <w:rsid w:val="00E15436"/>
    <w:rsid w:val="00E16946"/>
    <w:rsid w:val="00E201A9"/>
    <w:rsid w:val="00E208AB"/>
    <w:rsid w:val="00E23724"/>
    <w:rsid w:val="00E260EB"/>
    <w:rsid w:val="00E260F9"/>
    <w:rsid w:val="00E27C59"/>
    <w:rsid w:val="00E303EB"/>
    <w:rsid w:val="00E31E18"/>
    <w:rsid w:val="00E32C42"/>
    <w:rsid w:val="00E33437"/>
    <w:rsid w:val="00E3378A"/>
    <w:rsid w:val="00E35B7E"/>
    <w:rsid w:val="00E40F08"/>
    <w:rsid w:val="00E423DA"/>
    <w:rsid w:val="00E430EF"/>
    <w:rsid w:val="00E43456"/>
    <w:rsid w:val="00E44F6F"/>
    <w:rsid w:val="00E45709"/>
    <w:rsid w:val="00E5183F"/>
    <w:rsid w:val="00E52AE2"/>
    <w:rsid w:val="00E55D6D"/>
    <w:rsid w:val="00E561D2"/>
    <w:rsid w:val="00E564A5"/>
    <w:rsid w:val="00E56601"/>
    <w:rsid w:val="00E624E6"/>
    <w:rsid w:val="00E6491F"/>
    <w:rsid w:val="00E64DD1"/>
    <w:rsid w:val="00E650BD"/>
    <w:rsid w:val="00E673C8"/>
    <w:rsid w:val="00E67715"/>
    <w:rsid w:val="00E707A0"/>
    <w:rsid w:val="00E70EE6"/>
    <w:rsid w:val="00E72017"/>
    <w:rsid w:val="00E73D8F"/>
    <w:rsid w:val="00E779F6"/>
    <w:rsid w:val="00E77C94"/>
    <w:rsid w:val="00E80CE2"/>
    <w:rsid w:val="00E8221B"/>
    <w:rsid w:val="00E82409"/>
    <w:rsid w:val="00E82616"/>
    <w:rsid w:val="00E8348D"/>
    <w:rsid w:val="00E85DDD"/>
    <w:rsid w:val="00E87214"/>
    <w:rsid w:val="00E874B4"/>
    <w:rsid w:val="00E90ABE"/>
    <w:rsid w:val="00E91FFB"/>
    <w:rsid w:val="00E92552"/>
    <w:rsid w:val="00E927D4"/>
    <w:rsid w:val="00E93B38"/>
    <w:rsid w:val="00E961C5"/>
    <w:rsid w:val="00E96343"/>
    <w:rsid w:val="00E965E1"/>
    <w:rsid w:val="00E973A4"/>
    <w:rsid w:val="00EA0158"/>
    <w:rsid w:val="00EA0742"/>
    <w:rsid w:val="00EA3B08"/>
    <w:rsid w:val="00EB0837"/>
    <w:rsid w:val="00EB1B9C"/>
    <w:rsid w:val="00EB26E3"/>
    <w:rsid w:val="00EB335E"/>
    <w:rsid w:val="00EB58FA"/>
    <w:rsid w:val="00EB6C03"/>
    <w:rsid w:val="00EC2086"/>
    <w:rsid w:val="00EC21EB"/>
    <w:rsid w:val="00EC29F1"/>
    <w:rsid w:val="00EC4AF2"/>
    <w:rsid w:val="00EC63C9"/>
    <w:rsid w:val="00ED0C4A"/>
    <w:rsid w:val="00ED19C3"/>
    <w:rsid w:val="00ED3788"/>
    <w:rsid w:val="00ED39D4"/>
    <w:rsid w:val="00ED4A85"/>
    <w:rsid w:val="00ED581B"/>
    <w:rsid w:val="00ED6E4B"/>
    <w:rsid w:val="00ED7E25"/>
    <w:rsid w:val="00EE1DB8"/>
    <w:rsid w:val="00EE438D"/>
    <w:rsid w:val="00EE6760"/>
    <w:rsid w:val="00EE75CF"/>
    <w:rsid w:val="00EE78EE"/>
    <w:rsid w:val="00EF0340"/>
    <w:rsid w:val="00EF1EEF"/>
    <w:rsid w:val="00EF3ECA"/>
    <w:rsid w:val="00F0021B"/>
    <w:rsid w:val="00F007EE"/>
    <w:rsid w:val="00F00E8A"/>
    <w:rsid w:val="00F034ED"/>
    <w:rsid w:val="00F038E5"/>
    <w:rsid w:val="00F04028"/>
    <w:rsid w:val="00F058DB"/>
    <w:rsid w:val="00F06F21"/>
    <w:rsid w:val="00F07353"/>
    <w:rsid w:val="00F07759"/>
    <w:rsid w:val="00F10B15"/>
    <w:rsid w:val="00F126C1"/>
    <w:rsid w:val="00F12C57"/>
    <w:rsid w:val="00F1392C"/>
    <w:rsid w:val="00F16D03"/>
    <w:rsid w:val="00F17C1F"/>
    <w:rsid w:val="00F20201"/>
    <w:rsid w:val="00F23690"/>
    <w:rsid w:val="00F2518E"/>
    <w:rsid w:val="00F308D6"/>
    <w:rsid w:val="00F31257"/>
    <w:rsid w:val="00F31F76"/>
    <w:rsid w:val="00F32CEB"/>
    <w:rsid w:val="00F33133"/>
    <w:rsid w:val="00F33615"/>
    <w:rsid w:val="00F3365C"/>
    <w:rsid w:val="00F34445"/>
    <w:rsid w:val="00F3790D"/>
    <w:rsid w:val="00F409ED"/>
    <w:rsid w:val="00F40D59"/>
    <w:rsid w:val="00F4188A"/>
    <w:rsid w:val="00F448CC"/>
    <w:rsid w:val="00F45A43"/>
    <w:rsid w:val="00F45EEC"/>
    <w:rsid w:val="00F461E7"/>
    <w:rsid w:val="00F46DFA"/>
    <w:rsid w:val="00F50A6E"/>
    <w:rsid w:val="00F51EB1"/>
    <w:rsid w:val="00F52173"/>
    <w:rsid w:val="00F523EB"/>
    <w:rsid w:val="00F52D5F"/>
    <w:rsid w:val="00F54E1C"/>
    <w:rsid w:val="00F57B15"/>
    <w:rsid w:val="00F600C8"/>
    <w:rsid w:val="00F61161"/>
    <w:rsid w:val="00F61BB0"/>
    <w:rsid w:val="00F64AAC"/>
    <w:rsid w:val="00F64B53"/>
    <w:rsid w:val="00F66E85"/>
    <w:rsid w:val="00F67374"/>
    <w:rsid w:val="00F6769C"/>
    <w:rsid w:val="00F70171"/>
    <w:rsid w:val="00F717ED"/>
    <w:rsid w:val="00F752B9"/>
    <w:rsid w:val="00F7588E"/>
    <w:rsid w:val="00F801DB"/>
    <w:rsid w:val="00F83FF6"/>
    <w:rsid w:val="00F84CA7"/>
    <w:rsid w:val="00F857E6"/>
    <w:rsid w:val="00F86BCA"/>
    <w:rsid w:val="00F8745D"/>
    <w:rsid w:val="00F90877"/>
    <w:rsid w:val="00F92772"/>
    <w:rsid w:val="00F9360C"/>
    <w:rsid w:val="00F939F8"/>
    <w:rsid w:val="00F946C6"/>
    <w:rsid w:val="00F94721"/>
    <w:rsid w:val="00F94A6A"/>
    <w:rsid w:val="00F960C2"/>
    <w:rsid w:val="00FA0513"/>
    <w:rsid w:val="00FA0BDB"/>
    <w:rsid w:val="00FA2596"/>
    <w:rsid w:val="00FA3318"/>
    <w:rsid w:val="00FA58F0"/>
    <w:rsid w:val="00FA6124"/>
    <w:rsid w:val="00FB002A"/>
    <w:rsid w:val="00FB0221"/>
    <w:rsid w:val="00FB6AE5"/>
    <w:rsid w:val="00FC1526"/>
    <w:rsid w:val="00FC18B8"/>
    <w:rsid w:val="00FC2563"/>
    <w:rsid w:val="00FC3B59"/>
    <w:rsid w:val="00FC71CF"/>
    <w:rsid w:val="00FC7BDA"/>
    <w:rsid w:val="00FD0C61"/>
    <w:rsid w:val="00FD5DF0"/>
    <w:rsid w:val="00FD6276"/>
    <w:rsid w:val="00FD69C3"/>
    <w:rsid w:val="00FD722C"/>
    <w:rsid w:val="00FE099F"/>
    <w:rsid w:val="00FE30A3"/>
    <w:rsid w:val="00FE420D"/>
    <w:rsid w:val="00FE4993"/>
    <w:rsid w:val="00FE4CA3"/>
    <w:rsid w:val="00FE538D"/>
    <w:rsid w:val="00FF0DEC"/>
    <w:rsid w:val="00FF2C8C"/>
    <w:rsid w:val="00FF437D"/>
    <w:rsid w:val="00FF489B"/>
    <w:rsid w:val="010B2362"/>
    <w:rsid w:val="0116EDDD"/>
    <w:rsid w:val="0130DA2A"/>
    <w:rsid w:val="01D52F4B"/>
    <w:rsid w:val="01E9D703"/>
    <w:rsid w:val="0215D0E9"/>
    <w:rsid w:val="02828498"/>
    <w:rsid w:val="02BD81CD"/>
    <w:rsid w:val="02C8C723"/>
    <w:rsid w:val="03163375"/>
    <w:rsid w:val="03C03BB2"/>
    <w:rsid w:val="03F5646C"/>
    <w:rsid w:val="044196AA"/>
    <w:rsid w:val="045E990C"/>
    <w:rsid w:val="0496857E"/>
    <w:rsid w:val="0498F503"/>
    <w:rsid w:val="04B5A1E0"/>
    <w:rsid w:val="0664C7E6"/>
    <w:rsid w:val="06753FE1"/>
    <w:rsid w:val="06B60BD2"/>
    <w:rsid w:val="06BC3B28"/>
    <w:rsid w:val="06E282A9"/>
    <w:rsid w:val="0724C757"/>
    <w:rsid w:val="074BBF70"/>
    <w:rsid w:val="07614F9D"/>
    <w:rsid w:val="07DD33B0"/>
    <w:rsid w:val="082D40B0"/>
    <w:rsid w:val="08346ECD"/>
    <w:rsid w:val="086C1C14"/>
    <w:rsid w:val="089991C4"/>
    <w:rsid w:val="0902B308"/>
    <w:rsid w:val="0911A483"/>
    <w:rsid w:val="093C9EC8"/>
    <w:rsid w:val="095698AF"/>
    <w:rsid w:val="09800A5C"/>
    <w:rsid w:val="09B513B3"/>
    <w:rsid w:val="0A028A42"/>
    <w:rsid w:val="0AB589CB"/>
    <w:rsid w:val="0AB6C9F8"/>
    <w:rsid w:val="0AF15047"/>
    <w:rsid w:val="0B1701D9"/>
    <w:rsid w:val="0B6BD2D9"/>
    <w:rsid w:val="0BA88497"/>
    <w:rsid w:val="0BCAED49"/>
    <w:rsid w:val="0C08C6A5"/>
    <w:rsid w:val="0C11E809"/>
    <w:rsid w:val="0C3C87AB"/>
    <w:rsid w:val="0CCB6617"/>
    <w:rsid w:val="0D0415F4"/>
    <w:rsid w:val="0D9A2544"/>
    <w:rsid w:val="0D9B24C1"/>
    <w:rsid w:val="0DD7C85E"/>
    <w:rsid w:val="0DD7EAE7"/>
    <w:rsid w:val="0E04F2EC"/>
    <w:rsid w:val="0E9F38B8"/>
    <w:rsid w:val="0EDC8C79"/>
    <w:rsid w:val="0F111B6F"/>
    <w:rsid w:val="0F7659D7"/>
    <w:rsid w:val="0F984A1C"/>
    <w:rsid w:val="100BF723"/>
    <w:rsid w:val="107FFE66"/>
    <w:rsid w:val="10CD2CEE"/>
    <w:rsid w:val="10D844EF"/>
    <w:rsid w:val="10DC2B66"/>
    <w:rsid w:val="10E86BA8"/>
    <w:rsid w:val="10FDDCCD"/>
    <w:rsid w:val="110906B4"/>
    <w:rsid w:val="1139D36A"/>
    <w:rsid w:val="1185272C"/>
    <w:rsid w:val="1186435D"/>
    <w:rsid w:val="11A49B2F"/>
    <w:rsid w:val="120ADEFE"/>
    <w:rsid w:val="12411121"/>
    <w:rsid w:val="125ABB25"/>
    <w:rsid w:val="12A2ADB4"/>
    <w:rsid w:val="132B5CB0"/>
    <w:rsid w:val="138B8B4C"/>
    <w:rsid w:val="13C66159"/>
    <w:rsid w:val="144D5074"/>
    <w:rsid w:val="1469DD68"/>
    <w:rsid w:val="1471FCC4"/>
    <w:rsid w:val="149380EB"/>
    <w:rsid w:val="14A4BBC2"/>
    <w:rsid w:val="14C77B64"/>
    <w:rsid w:val="15190E13"/>
    <w:rsid w:val="152DF3D9"/>
    <w:rsid w:val="1558BE19"/>
    <w:rsid w:val="15EB894D"/>
    <w:rsid w:val="15EE152C"/>
    <w:rsid w:val="15F0C17D"/>
    <w:rsid w:val="16200B52"/>
    <w:rsid w:val="16D630C5"/>
    <w:rsid w:val="1711CED0"/>
    <w:rsid w:val="17286C36"/>
    <w:rsid w:val="173E1B63"/>
    <w:rsid w:val="1742ECD2"/>
    <w:rsid w:val="1770B5AF"/>
    <w:rsid w:val="17EA1F0D"/>
    <w:rsid w:val="180A6AA7"/>
    <w:rsid w:val="1830AF74"/>
    <w:rsid w:val="18A54E7D"/>
    <w:rsid w:val="18C6CA7D"/>
    <w:rsid w:val="18F447D6"/>
    <w:rsid w:val="19116B47"/>
    <w:rsid w:val="19317CDC"/>
    <w:rsid w:val="1974632C"/>
    <w:rsid w:val="198839C7"/>
    <w:rsid w:val="19D9A5EA"/>
    <w:rsid w:val="19EF5FDC"/>
    <w:rsid w:val="1B15421F"/>
    <w:rsid w:val="1B81AFB3"/>
    <w:rsid w:val="1BB41625"/>
    <w:rsid w:val="1BDD2097"/>
    <w:rsid w:val="1C893A57"/>
    <w:rsid w:val="1C9D0828"/>
    <w:rsid w:val="1CB7ED03"/>
    <w:rsid w:val="1D9710FB"/>
    <w:rsid w:val="1DCE11B2"/>
    <w:rsid w:val="1DF69B32"/>
    <w:rsid w:val="1E47DBDE"/>
    <w:rsid w:val="1E58A2C2"/>
    <w:rsid w:val="1E68850B"/>
    <w:rsid w:val="1EDFE9D8"/>
    <w:rsid w:val="1F6C86B6"/>
    <w:rsid w:val="1F9A2ED4"/>
    <w:rsid w:val="1FE1EDEE"/>
    <w:rsid w:val="202CAC4C"/>
    <w:rsid w:val="2038E741"/>
    <w:rsid w:val="206DE066"/>
    <w:rsid w:val="208E4DE2"/>
    <w:rsid w:val="20E46019"/>
    <w:rsid w:val="213FF0B1"/>
    <w:rsid w:val="21543E72"/>
    <w:rsid w:val="215A2738"/>
    <w:rsid w:val="218B2C50"/>
    <w:rsid w:val="21D3D687"/>
    <w:rsid w:val="22464B31"/>
    <w:rsid w:val="2276059E"/>
    <w:rsid w:val="22880ABE"/>
    <w:rsid w:val="22A8834D"/>
    <w:rsid w:val="2343FAB9"/>
    <w:rsid w:val="23E3AA44"/>
    <w:rsid w:val="24042DCF"/>
    <w:rsid w:val="24082BFB"/>
    <w:rsid w:val="2411E986"/>
    <w:rsid w:val="241AD32B"/>
    <w:rsid w:val="2466BA86"/>
    <w:rsid w:val="24B53F64"/>
    <w:rsid w:val="24FDAB6C"/>
    <w:rsid w:val="24FF3779"/>
    <w:rsid w:val="2517CFE8"/>
    <w:rsid w:val="254A7097"/>
    <w:rsid w:val="256A16DF"/>
    <w:rsid w:val="25F9A142"/>
    <w:rsid w:val="25FE5B31"/>
    <w:rsid w:val="2697C01F"/>
    <w:rsid w:val="26CB22DE"/>
    <w:rsid w:val="275B7F87"/>
    <w:rsid w:val="27798FE7"/>
    <w:rsid w:val="278D5247"/>
    <w:rsid w:val="27E01782"/>
    <w:rsid w:val="27E14577"/>
    <w:rsid w:val="27FC8431"/>
    <w:rsid w:val="2873936F"/>
    <w:rsid w:val="2880376A"/>
    <w:rsid w:val="28923C8A"/>
    <w:rsid w:val="291058BD"/>
    <w:rsid w:val="295F857F"/>
    <w:rsid w:val="2A0ACCF4"/>
    <w:rsid w:val="2A53E116"/>
    <w:rsid w:val="2B57132D"/>
    <w:rsid w:val="2B7DF5F1"/>
    <w:rsid w:val="2C4D9B3E"/>
    <w:rsid w:val="2C8A16F8"/>
    <w:rsid w:val="2D21E5AE"/>
    <w:rsid w:val="2D5DDBB0"/>
    <w:rsid w:val="2D8AD22B"/>
    <w:rsid w:val="2DF45425"/>
    <w:rsid w:val="2E09DBD2"/>
    <w:rsid w:val="2E15A8A1"/>
    <w:rsid w:val="2F30EC72"/>
    <w:rsid w:val="2F8F352A"/>
    <w:rsid w:val="2F9D6CC6"/>
    <w:rsid w:val="303D89B3"/>
    <w:rsid w:val="305E0239"/>
    <w:rsid w:val="3064266E"/>
    <w:rsid w:val="30F50015"/>
    <w:rsid w:val="3132BBB7"/>
    <w:rsid w:val="31442DE8"/>
    <w:rsid w:val="3182CD5C"/>
    <w:rsid w:val="31A52A6B"/>
    <w:rsid w:val="31E0265F"/>
    <w:rsid w:val="31FF4FBC"/>
    <w:rsid w:val="32042226"/>
    <w:rsid w:val="32347C70"/>
    <w:rsid w:val="323BFA9E"/>
    <w:rsid w:val="324A1AD6"/>
    <w:rsid w:val="3259A6D8"/>
    <w:rsid w:val="32719654"/>
    <w:rsid w:val="3303E29E"/>
    <w:rsid w:val="3334B278"/>
    <w:rsid w:val="345C1E07"/>
    <w:rsid w:val="34995BB9"/>
    <w:rsid w:val="34D706A4"/>
    <w:rsid w:val="350985C6"/>
    <w:rsid w:val="3515D8BB"/>
    <w:rsid w:val="351CB8DB"/>
    <w:rsid w:val="3527D261"/>
    <w:rsid w:val="35CBE986"/>
    <w:rsid w:val="35F55B33"/>
    <w:rsid w:val="36522802"/>
    <w:rsid w:val="36ED3CE6"/>
    <w:rsid w:val="371EB332"/>
    <w:rsid w:val="372DCD2E"/>
    <w:rsid w:val="373D24DD"/>
    <w:rsid w:val="374166FC"/>
    <w:rsid w:val="37567E1D"/>
    <w:rsid w:val="37A6A70A"/>
    <w:rsid w:val="37DB255B"/>
    <w:rsid w:val="37DE0F0E"/>
    <w:rsid w:val="37F92F71"/>
    <w:rsid w:val="382BEA86"/>
    <w:rsid w:val="3847BD21"/>
    <w:rsid w:val="3895BCCE"/>
    <w:rsid w:val="38A9A6EA"/>
    <w:rsid w:val="38B042A6"/>
    <w:rsid w:val="38C7EC3D"/>
    <w:rsid w:val="38EA0E6E"/>
    <w:rsid w:val="3906CC92"/>
    <w:rsid w:val="39920BAD"/>
    <w:rsid w:val="39B7C6A8"/>
    <w:rsid w:val="3A08975D"/>
    <w:rsid w:val="3A45387B"/>
    <w:rsid w:val="3A8585A4"/>
    <w:rsid w:val="3A8C31EA"/>
    <w:rsid w:val="3A8DB7DA"/>
    <w:rsid w:val="3AAFA3F9"/>
    <w:rsid w:val="3AE5E52F"/>
    <w:rsid w:val="3AEF8E0E"/>
    <w:rsid w:val="3B08F2F6"/>
    <w:rsid w:val="3B15AFD0"/>
    <w:rsid w:val="3B4AB4F1"/>
    <w:rsid w:val="3B51BDE3"/>
    <w:rsid w:val="3B8CD95D"/>
    <w:rsid w:val="3BAD7E86"/>
    <w:rsid w:val="3C0C0548"/>
    <w:rsid w:val="3C21D0D7"/>
    <w:rsid w:val="3CEE6582"/>
    <w:rsid w:val="3D00EC4B"/>
    <w:rsid w:val="3D516E43"/>
    <w:rsid w:val="3D97AC44"/>
    <w:rsid w:val="3DD7C5B4"/>
    <w:rsid w:val="3DECC650"/>
    <w:rsid w:val="3E11B55D"/>
    <w:rsid w:val="3E37C88C"/>
    <w:rsid w:val="3E57F937"/>
    <w:rsid w:val="3E930F43"/>
    <w:rsid w:val="3EB1642B"/>
    <w:rsid w:val="3EB29220"/>
    <w:rsid w:val="3F4932E1"/>
    <w:rsid w:val="3FB55447"/>
    <w:rsid w:val="3FBA7134"/>
    <w:rsid w:val="3FBB5601"/>
    <w:rsid w:val="3FF1404F"/>
    <w:rsid w:val="4035CDDE"/>
    <w:rsid w:val="4090FC8B"/>
    <w:rsid w:val="40F74FA1"/>
    <w:rsid w:val="410ED524"/>
    <w:rsid w:val="4130EA9D"/>
    <w:rsid w:val="41412955"/>
    <w:rsid w:val="4152642C"/>
    <w:rsid w:val="418D10B0"/>
    <w:rsid w:val="41AC4879"/>
    <w:rsid w:val="421BC3EB"/>
    <w:rsid w:val="42DDF5D5"/>
    <w:rsid w:val="4309A78F"/>
    <w:rsid w:val="430B672E"/>
    <w:rsid w:val="43349DE1"/>
    <w:rsid w:val="43488C89"/>
    <w:rsid w:val="438102C6"/>
    <w:rsid w:val="43ACB918"/>
    <w:rsid w:val="43BD5EB7"/>
    <w:rsid w:val="440B42F3"/>
    <w:rsid w:val="45D78FA5"/>
    <w:rsid w:val="462192B8"/>
    <w:rsid w:val="46DB7370"/>
    <w:rsid w:val="46FD278F"/>
    <w:rsid w:val="475E6F28"/>
    <w:rsid w:val="477EA7FA"/>
    <w:rsid w:val="479C2D75"/>
    <w:rsid w:val="4827F773"/>
    <w:rsid w:val="484ED15F"/>
    <w:rsid w:val="4868753E"/>
    <w:rsid w:val="48F57343"/>
    <w:rsid w:val="48FAEF40"/>
    <w:rsid w:val="49703D88"/>
    <w:rsid w:val="49B3614F"/>
    <w:rsid w:val="4A642F0F"/>
    <w:rsid w:val="4A889158"/>
    <w:rsid w:val="4AB20625"/>
    <w:rsid w:val="4AF4984C"/>
    <w:rsid w:val="4B72825C"/>
    <w:rsid w:val="4B9C4395"/>
    <w:rsid w:val="4BE4EA09"/>
    <w:rsid w:val="4C0E8D8C"/>
    <w:rsid w:val="4C79FED5"/>
    <w:rsid w:val="4C7EA9F4"/>
    <w:rsid w:val="4CA95479"/>
    <w:rsid w:val="4D2BC89A"/>
    <w:rsid w:val="4D59F78D"/>
    <w:rsid w:val="4D8093E6"/>
    <w:rsid w:val="4E43D4BC"/>
    <w:rsid w:val="4E7E4F8E"/>
    <w:rsid w:val="4EB8797A"/>
    <w:rsid w:val="4F6E85B7"/>
    <w:rsid w:val="4FF6E798"/>
    <w:rsid w:val="4FF9BA6A"/>
    <w:rsid w:val="502308DB"/>
    <w:rsid w:val="50636BDD"/>
    <w:rsid w:val="5080712F"/>
    <w:rsid w:val="509A0089"/>
    <w:rsid w:val="50A4FCA1"/>
    <w:rsid w:val="50B75F0D"/>
    <w:rsid w:val="50BAF0B0"/>
    <w:rsid w:val="50BF4882"/>
    <w:rsid w:val="50C8E0CB"/>
    <w:rsid w:val="50DA31EF"/>
    <w:rsid w:val="50F10F72"/>
    <w:rsid w:val="50F61817"/>
    <w:rsid w:val="5108AA54"/>
    <w:rsid w:val="51B5399A"/>
    <w:rsid w:val="51B854EC"/>
    <w:rsid w:val="5228AB01"/>
    <w:rsid w:val="523EBDB0"/>
    <w:rsid w:val="52625301"/>
    <w:rsid w:val="526555E3"/>
    <w:rsid w:val="527D53CF"/>
    <w:rsid w:val="529BB232"/>
    <w:rsid w:val="5308FF65"/>
    <w:rsid w:val="531C5205"/>
    <w:rsid w:val="539B1737"/>
    <w:rsid w:val="54387131"/>
    <w:rsid w:val="54568D58"/>
    <w:rsid w:val="548C5393"/>
    <w:rsid w:val="549606EE"/>
    <w:rsid w:val="54A3095E"/>
    <w:rsid w:val="54A55B3D"/>
    <w:rsid w:val="54BD10B8"/>
    <w:rsid w:val="54D17AC4"/>
    <w:rsid w:val="55FD7BC8"/>
    <w:rsid w:val="564790A4"/>
    <w:rsid w:val="568BD754"/>
    <w:rsid w:val="5693E565"/>
    <w:rsid w:val="56C88236"/>
    <w:rsid w:val="571693AF"/>
    <w:rsid w:val="578DCDB2"/>
    <w:rsid w:val="57D34EA3"/>
    <w:rsid w:val="58738F5A"/>
    <w:rsid w:val="588F1031"/>
    <w:rsid w:val="58AFBC00"/>
    <w:rsid w:val="58CA153F"/>
    <w:rsid w:val="594569AD"/>
    <w:rsid w:val="59D2DFF9"/>
    <w:rsid w:val="59DD5888"/>
    <w:rsid w:val="59F75882"/>
    <w:rsid w:val="5A4768C5"/>
    <w:rsid w:val="5A70CABA"/>
    <w:rsid w:val="5AA0A7F8"/>
    <w:rsid w:val="5ADBB9B7"/>
    <w:rsid w:val="5B0C28DC"/>
    <w:rsid w:val="5B367E7A"/>
    <w:rsid w:val="5B8FB777"/>
    <w:rsid w:val="5BB92A5B"/>
    <w:rsid w:val="5BDFE526"/>
    <w:rsid w:val="5BFF4B4A"/>
    <w:rsid w:val="5C34D624"/>
    <w:rsid w:val="5C4E186B"/>
    <w:rsid w:val="5C94FAE4"/>
    <w:rsid w:val="5D30A087"/>
    <w:rsid w:val="5D38BFE3"/>
    <w:rsid w:val="5D3D98C7"/>
    <w:rsid w:val="5E383612"/>
    <w:rsid w:val="5E46D928"/>
    <w:rsid w:val="5EC57F81"/>
    <w:rsid w:val="5F48EE68"/>
    <w:rsid w:val="5F6F552F"/>
    <w:rsid w:val="5FD3A709"/>
    <w:rsid w:val="60389FA5"/>
    <w:rsid w:val="60402C49"/>
    <w:rsid w:val="6092E0EB"/>
    <w:rsid w:val="610A89A8"/>
    <w:rsid w:val="61234FF6"/>
    <w:rsid w:val="6142DBDF"/>
    <w:rsid w:val="61713580"/>
    <w:rsid w:val="61960BA7"/>
    <w:rsid w:val="61F94707"/>
    <w:rsid w:val="627EA5B0"/>
    <w:rsid w:val="6300F6CE"/>
    <w:rsid w:val="63274BD3"/>
    <w:rsid w:val="6355F2EE"/>
    <w:rsid w:val="63D1A4EA"/>
    <w:rsid w:val="64173765"/>
    <w:rsid w:val="64F56AB9"/>
    <w:rsid w:val="64F5B084"/>
    <w:rsid w:val="655D1118"/>
    <w:rsid w:val="657D257A"/>
    <w:rsid w:val="65CF5242"/>
    <w:rsid w:val="65D9FD12"/>
    <w:rsid w:val="66398CF9"/>
    <w:rsid w:val="663A2723"/>
    <w:rsid w:val="666FC949"/>
    <w:rsid w:val="6671993A"/>
    <w:rsid w:val="66736F34"/>
    <w:rsid w:val="66CB0173"/>
    <w:rsid w:val="66DB0965"/>
    <w:rsid w:val="66F5591B"/>
    <w:rsid w:val="67122F51"/>
    <w:rsid w:val="67175C28"/>
    <w:rsid w:val="67C1D1E9"/>
    <w:rsid w:val="68185B10"/>
    <w:rsid w:val="68324E61"/>
    <w:rsid w:val="6857814F"/>
    <w:rsid w:val="685E65E3"/>
    <w:rsid w:val="68C27E20"/>
    <w:rsid w:val="690DD139"/>
    <w:rsid w:val="69CB79AF"/>
    <w:rsid w:val="69EE0C48"/>
    <w:rsid w:val="6A25EC89"/>
    <w:rsid w:val="6A9B5CF4"/>
    <w:rsid w:val="6AE8018A"/>
    <w:rsid w:val="6AEC314F"/>
    <w:rsid w:val="6B3DC4DC"/>
    <w:rsid w:val="6B46D17F"/>
    <w:rsid w:val="6B6A3E6D"/>
    <w:rsid w:val="6BA58DEB"/>
    <w:rsid w:val="6BBC2EC7"/>
    <w:rsid w:val="6BE5A074"/>
    <w:rsid w:val="6BEE476C"/>
    <w:rsid w:val="6C59EB0A"/>
    <w:rsid w:val="6C5C47CB"/>
    <w:rsid w:val="6CFEB5BC"/>
    <w:rsid w:val="6D1C611D"/>
    <w:rsid w:val="6D2FA50B"/>
    <w:rsid w:val="6D46C451"/>
    <w:rsid w:val="6D5ADFCE"/>
    <w:rsid w:val="6E9272D1"/>
    <w:rsid w:val="6F2F91C2"/>
    <w:rsid w:val="6F378304"/>
    <w:rsid w:val="6F581F90"/>
    <w:rsid w:val="6F8F7B04"/>
    <w:rsid w:val="6F9EF1D0"/>
    <w:rsid w:val="6F9FA6D2"/>
    <w:rsid w:val="707B1403"/>
    <w:rsid w:val="7082146F"/>
    <w:rsid w:val="7086E2A2"/>
    <w:rsid w:val="70B52826"/>
    <w:rsid w:val="71052AC8"/>
    <w:rsid w:val="71334CA2"/>
    <w:rsid w:val="717D599A"/>
    <w:rsid w:val="72A09642"/>
    <w:rsid w:val="72B637ED"/>
    <w:rsid w:val="7351F23C"/>
    <w:rsid w:val="73656B43"/>
    <w:rsid w:val="736FF37D"/>
    <w:rsid w:val="73ABBEBB"/>
    <w:rsid w:val="73B0F8F5"/>
    <w:rsid w:val="7403E56E"/>
    <w:rsid w:val="742B1054"/>
    <w:rsid w:val="744BC4F2"/>
    <w:rsid w:val="749305AB"/>
    <w:rsid w:val="74BE8721"/>
    <w:rsid w:val="760DFF21"/>
    <w:rsid w:val="768F56A0"/>
    <w:rsid w:val="76979972"/>
    <w:rsid w:val="76A89AF9"/>
    <w:rsid w:val="76C34363"/>
    <w:rsid w:val="7705DB65"/>
    <w:rsid w:val="7731875A"/>
    <w:rsid w:val="773D5B81"/>
    <w:rsid w:val="773D6AB7"/>
    <w:rsid w:val="77824498"/>
    <w:rsid w:val="784E436A"/>
    <w:rsid w:val="789FD9CC"/>
    <w:rsid w:val="78A637D0"/>
    <w:rsid w:val="7921A120"/>
    <w:rsid w:val="796B6600"/>
    <w:rsid w:val="797D25AE"/>
    <w:rsid w:val="7995D46D"/>
    <w:rsid w:val="79E1BBC8"/>
    <w:rsid w:val="7A1E241C"/>
    <w:rsid w:val="7A5B829D"/>
    <w:rsid w:val="7A5BC771"/>
    <w:rsid w:val="7A93AEFA"/>
    <w:rsid w:val="7A9B9C80"/>
    <w:rsid w:val="7A9ECA7C"/>
    <w:rsid w:val="7AE9105B"/>
    <w:rsid w:val="7AEFD50D"/>
    <w:rsid w:val="7AF72ACE"/>
    <w:rsid w:val="7B4E7910"/>
    <w:rsid w:val="7BEA1D60"/>
    <w:rsid w:val="7C23C2FC"/>
    <w:rsid w:val="7C3E7586"/>
    <w:rsid w:val="7C6C05CE"/>
    <w:rsid w:val="7C9BB250"/>
    <w:rsid w:val="7CE991E9"/>
    <w:rsid w:val="7D160B30"/>
    <w:rsid w:val="7D267DB9"/>
    <w:rsid w:val="7D4CDB39"/>
    <w:rsid w:val="7F5F00C1"/>
    <w:rsid w:val="7F88A0CD"/>
    <w:rsid w:val="7F9FE0D2"/>
    <w:rsid w:val="7FA9EBFD"/>
    <w:rsid w:val="7FDC6E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38B38D6"/>
  <w15:chartTrackingRefBased/>
  <w15:docId w15:val="{0F125924-CC9F-4D1D-9628-A4829E7EF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CC3"/>
  </w:style>
  <w:style w:type="paragraph" w:styleId="Heading1">
    <w:name w:val="heading 1"/>
    <w:basedOn w:val="Normal"/>
    <w:next w:val="Normal"/>
    <w:link w:val="Heading1Char"/>
    <w:uiPriority w:val="9"/>
    <w:qFormat/>
    <w:rsid w:val="0035225B"/>
    <w:pPr>
      <w:keepNext/>
      <w:keepLines/>
      <w:spacing w:before="240" w:after="0"/>
      <w:outlineLvl w:val="0"/>
    </w:pPr>
    <w:rPr>
      <w:rFonts w:ascii="Arial" w:eastAsiaTheme="majorEastAsia" w:hAnsi="Arial" w:cstheme="majorBidi"/>
      <w:b/>
      <w:color w:val="ED7D31" w:themeColor="accent2"/>
      <w:sz w:val="36"/>
      <w:szCs w:val="32"/>
    </w:rPr>
  </w:style>
  <w:style w:type="paragraph" w:styleId="Heading2">
    <w:name w:val="heading 2"/>
    <w:basedOn w:val="Normal"/>
    <w:next w:val="Normal"/>
    <w:link w:val="Heading2Char"/>
    <w:uiPriority w:val="9"/>
    <w:unhideWhenUsed/>
    <w:qFormat/>
    <w:rsid w:val="00626C56"/>
    <w:pPr>
      <w:keepNext/>
      <w:keepLines/>
      <w:spacing w:before="40" w:after="0"/>
      <w:outlineLvl w:val="1"/>
    </w:pPr>
    <w:rPr>
      <w:rFonts w:ascii="Arial" w:eastAsiaTheme="majorEastAsia" w:hAnsi="Arial" w:cstheme="majorBidi"/>
      <w:color w:val="1F3864" w:themeColor="accent1" w:themeShade="80"/>
      <w:sz w:val="30"/>
      <w:szCs w:val="26"/>
    </w:rPr>
  </w:style>
  <w:style w:type="paragraph" w:styleId="Heading3">
    <w:name w:val="heading 3"/>
    <w:basedOn w:val="Normal"/>
    <w:next w:val="Normal"/>
    <w:link w:val="Heading3Char"/>
    <w:uiPriority w:val="9"/>
    <w:unhideWhenUsed/>
    <w:qFormat/>
    <w:rsid w:val="00943202"/>
    <w:pPr>
      <w:keepNext/>
      <w:keepLines/>
      <w:spacing w:before="40" w:after="0"/>
      <w:outlineLvl w:val="2"/>
    </w:pPr>
    <w:rPr>
      <w:rFonts w:ascii="Arial" w:eastAsiaTheme="majorEastAsia" w:hAnsi="Arial" w:cstheme="majorBidi"/>
      <w:color w:val="ED7D31" w:themeColor="accen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74CC3"/>
    <w:pPr>
      <w:ind w:left="720"/>
      <w:contextualSpacing/>
    </w:pPr>
  </w:style>
  <w:style w:type="character" w:styleId="Hyperlink">
    <w:name w:val="Hyperlink"/>
    <w:basedOn w:val="DefaultParagraphFont"/>
    <w:uiPriority w:val="99"/>
    <w:unhideWhenUsed/>
    <w:rsid w:val="00574CC3"/>
    <w:rPr>
      <w:color w:val="0563C1" w:themeColor="hyperlink"/>
      <w:u w:val="single"/>
    </w:rPr>
  </w:style>
  <w:style w:type="paragraph" w:styleId="CommentText">
    <w:name w:val="annotation text"/>
    <w:basedOn w:val="Normal"/>
    <w:link w:val="CommentTextChar"/>
    <w:uiPriority w:val="99"/>
    <w:semiHidden/>
    <w:unhideWhenUsed/>
    <w:rsid w:val="00574CC3"/>
    <w:pPr>
      <w:spacing w:line="240" w:lineRule="auto"/>
    </w:pPr>
    <w:rPr>
      <w:sz w:val="20"/>
      <w:szCs w:val="20"/>
    </w:rPr>
  </w:style>
  <w:style w:type="character" w:customStyle="1" w:styleId="CommentTextChar">
    <w:name w:val="Comment Text Char"/>
    <w:basedOn w:val="DefaultParagraphFont"/>
    <w:link w:val="CommentText"/>
    <w:uiPriority w:val="99"/>
    <w:semiHidden/>
    <w:rsid w:val="00574CC3"/>
    <w:rPr>
      <w:sz w:val="20"/>
      <w:szCs w:val="20"/>
    </w:rPr>
  </w:style>
  <w:style w:type="character" w:styleId="CommentReference">
    <w:name w:val="annotation reference"/>
    <w:basedOn w:val="DefaultParagraphFont"/>
    <w:uiPriority w:val="99"/>
    <w:semiHidden/>
    <w:unhideWhenUsed/>
    <w:rsid w:val="00574CC3"/>
    <w:rPr>
      <w:sz w:val="16"/>
      <w:szCs w:val="16"/>
    </w:rPr>
  </w:style>
  <w:style w:type="paragraph" w:styleId="BalloonText">
    <w:name w:val="Balloon Text"/>
    <w:basedOn w:val="Normal"/>
    <w:link w:val="BalloonTextChar"/>
    <w:uiPriority w:val="99"/>
    <w:semiHidden/>
    <w:unhideWhenUsed/>
    <w:rsid w:val="00574C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CC3"/>
    <w:rPr>
      <w:rFonts w:ascii="Segoe UI" w:hAnsi="Segoe UI" w:cs="Segoe UI"/>
      <w:sz w:val="18"/>
      <w:szCs w:val="18"/>
    </w:rPr>
  </w:style>
  <w:style w:type="paragraph" w:styleId="NormalWeb">
    <w:name w:val="Normal (Web)"/>
    <w:basedOn w:val="Normal"/>
    <w:uiPriority w:val="99"/>
    <w:unhideWhenUsed/>
    <w:rsid w:val="00455A42"/>
    <w:rPr>
      <w:rFonts w:ascii="Times New Roman" w:hAnsi="Times New Roman" w:cs="Times New Roman"/>
      <w:sz w:val="24"/>
      <w:szCs w:val="24"/>
    </w:rPr>
  </w:style>
  <w:style w:type="paragraph" w:styleId="FootnoteText">
    <w:name w:val="footnote text"/>
    <w:basedOn w:val="Normal"/>
    <w:link w:val="FootnoteTextChar"/>
    <w:uiPriority w:val="99"/>
    <w:unhideWhenUsed/>
    <w:rsid w:val="00455A42"/>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rsid w:val="00455A42"/>
    <w:rPr>
      <w:rFonts w:ascii="Arial" w:hAnsi="Arial"/>
      <w:sz w:val="20"/>
      <w:szCs w:val="20"/>
    </w:rPr>
  </w:style>
  <w:style w:type="character" w:styleId="FootnoteReference">
    <w:name w:val="footnote reference"/>
    <w:aliases w:val="NO,Footnotes refss,Footnote number,Footnote"/>
    <w:basedOn w:val="DefaultParagraphFont"/>
    <w:uiPriority w:val="99"/>
    <w:unhideWhenUsed/>
    <w:rsid w:val="00455A42"/>
    <w:rPr>
      <w:vertAlign w:val="superscript"/>
    </w:rPr>
  </w:style>
  <w:style w:type="character" w:customStyle="1" w:styleId="author">
    <w:name w:val="author"/>
    <w:basedOn w:val="DefaultParagraphFont"/>
    <w:rsid w:val="00455A42"/>
  </w:style>
  <w:style w:type="character" w:customStyle="1" w:styleId="journal-title">
    <w:name w:val="journal-title"/>
    <w:basedOn w:val="DefaultParagraphFont"/>
    <w:rsid w:val="00455A42"/>
  </w:style>
  <w:style w:type="character" w:customStyle="1" w:styleId="cover-date">
    <w:name w:val="cover-date"/>
    <w:basedOn w:val="DefaultParagraphFont"/>
    <w:rsid w:val="00455A42"/>
  </w:style>
  <w:style w:type="paragraph" w:styleId="CommentSubject">
    <w:name w:val="annotation subject"/>
    <w:basedOn w:val="CommentText"/>
    <w:next w:val="CommentText"/>
    <w:link w:val="CommentSubjectChar"/>
    <w:uiPriority w:val="99"/>
    <w:semiHidden/>
    <w:unhideWhenUsed/>
    <w:rsid w:val="00A836DB"/>
    <w:rPr>
      <w:b/>
      <w:bCs/>
    </w:rPr>
  </w:style>
  <w:style w:type="character" w:customStyle="1" w:styleId="CommentSubjectChar">
    <w:name w:val="Comment Subject Char"/>
    <w:basedOn w:val="CommentTextChar"/>
    <w:link w:val="CommentSubject"/>
    <w:uiPriority w:val="99"/>
    <w:semiHidden/>
    <w:rsid w:val="00A836DB"/>
    <w:rPr>
      <w:b/>
      <w:bCs/>
      <w:sz w:val="20"/>
      <w:szCs w:val="20"/>
    </w:rPr>
  </w:style>
  <w:style w:type="paragraph" w:styleId="NoSpacing">
    <w:name w:val="No Spacing"/>
    <w:uiPriority w:val="1"/>
    <w:qFormat/>
    <w:rsid w:val="00F31F76"/>
    <w:pPr>
      <w:spacing w:after="0" w:line="240" w:lineRule="auto"/>
    </w:pPr>
    <w:rPr>
      <w:rFonts w:eastAsiaTheme="minorEastAsia" w:cs="Times New Roman"/>
    </w:rPr>
  </w:style>
  <w:style w:type="table" w:styleId="TableGrid">
    <w:name w:val="Table Grid"/>
    <w:basedOn w:val="TableNormal"/>
    <w:uiPriority w:val="39"/>
    <w:rsid w:val="007F4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4655"/>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B30E58"/>
    <w:rPr>
      <w:color w:val="954F72" w:themeColor="followedHyperlink"/>
      <w:u w:val="single"/>
    </w:rPr>
  </w:style>
  <w:style w:type="paragraph" w:styleId="Header">
    <w:name w:val="header"/>
    <w:basedOn w:val="Normal"/>
    <w:link w:val="HeaderChar"/>
    <w:uiPriority w:val="99"/>
    <w:unhideWhenUsed/>
    <w:rsid w:val="00783C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C73"/>
  </w:style>
  <w:style w:type="paragraph" w:styleId="Footer">
    <w:name w:val="footer"/>
    <w:basedOn w:val="Normal"/>
    <w:link w:val="FooterChar"/>
    <w:uiPriority w:val="99"/>
    <w:unhideWhenUsed/>
    <w:rsid w:val="00783C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C73"/>
  </w:style>
  <w:style w:type="character" w:styleId="UnresolvedMention">
    <w:name w:val="Unresolved Mention"/>
    <w:basedOn w:val="DefaultParagraphFont"/>
    <w:uiPriority w:val="99"/>
    <w:semiHidden/>
    <w:unhideWhenUsed/>
    <w:rsid w:val="000B248D"/>
    <w:rPr>
      <w:color w:val="605E5C"/>
      <w:shd w:val="clear" w:color="auto" w:fill="E1DFDD"/>
    </w:rPr>
  </w:style>
  <w:style w:type="character" w:customStyle="1" w:styleId="normaltextrun">
    <w:name w:val="normaltextrun"/>
    <w:basedOn w:val="DefaultParagraphFont"/>
    <w:rsid w:val="009B5C95"/>
  </w:style>
  <w:style w:type="paragraph" w:customStyle="1" w:styleId="OWBullet1">
    <w:name w:val="OW Bullet 1"/>
    <w:basedOn w:val="BodyText"/>
    <w:uiPriority w:val="99"/>
    <w:rsid w:val="00295866"/>
    <w:pPr>
      <w:numPr>
        <w:numId w:val="5"/>
      </w:numPr>
      <w:tabs>
        <w:tab w:val="num" w:pos="360"/>
      </w:tabs>
      <w:suppressAutoHyphens/>
      <w:autoSpaceDE w:val="0"/>
      <w:autoSpaceDN w:val="0"/>
      <w:adjustRightInd w:val="0"/>
      <w:spacing w:after="60" w:line="290" w:lineRule="atLeast"/>
    </w:pPr>
    <w:rPr>
      <w:rFonts w:eastAsiaTheme="minorEastAsia" w:cs="Calibri"/>
      <w:color w:val="44546A" w:themeColor="text2"/>
      <w:sz w:val="24"/>
      <w:szCs w:val="24"/>
      <w:lang w:eastAsia="en-AU"/>
    </w:rPr>
  </w:style>
  <w:style w:type="paragraph" w:customStyle="1" w:styleId="OWBullet2">
    <w:name w:val="OW Bullet 2"/>
    <w:basedOn w:val="BodyText"/>
    <w:uiPriority w:val="99"/>
    <w:rsid w:val="00295866"/>
    <w:pPr>
      <w:numPr>
        <w:ilvl w:val="1"/>
        <w:numId w:val="5"/>
      </w:numPr>
      <w:tabs>
        <w:tab w:val="num" w:pos="360"/>
      </w:tabs>
      <w:suppressAutoHyphens/>
      <w:autoSpaceDE w:val="0"/>
      <w:autoSpaceDN w:val="0"/>
      <w:adjustRightInd w:val="0"/>
      <w:spacing w:after="60" w:line="290" w:lineRule="atLeast"/>
    </w:pPr>
    <w:rPr>
      <w:rFonts w:ascii="Calibri" w:eastAsiaTheme="minorEastAsia" w:hAnsi="Calibri" w:cs="Calibri"/>
      <w:color w:val="000000"/>
      <w:sz w:val="24"/>
      <w:szCs w:val="24"/>
      <w:lang w:eastAsia="en-AU"/>
    </w:rPr>
  </w:style>
  <w:style w:type="numbering" w:customStyle="1" w:styleId="ZZBullets">
    <w:name w:val="ZZ Bullets"/>
    <w:uiPriority w:val="99"/>
    <w:rsid w:val="00295866"/>
    <w:pPr>
      <w:numPr>
        <w:numId w:val="5"/>
      </w:numPr>
    </w:pPr>
  </w:style>
  <w:style w:type="paragraph" w:styleId="BodyText">
    <w:name w:val="Body Text"/>
    <w:basedOn w:val="Normal"/>
    <w:link w:val="BodyTextChar"/>
    <w:uiPriority w:val="99"/>
    <w:semiHidden/>
    <w:unhideWhenUsed/>
    <w:rsid w:val="00295866"/>
    <w:pPr>
      <w:spacing w:after="120"/>
    </w:pPr>
  </w:style>
  <w:style w:type="character" w:customStyle="1" w:styleId="BodyTextChar">
    <w:name w:val="Body Text Char"/>
    <w:basedOn w:val="DefaultParagraphFont"/>
    <w:link w:val="BodyText"/>
    <w:uiPriority w:val="99"/>
    <w:semiHidden/>
    <w:rsid w:val="00295866"/>
  </w:style>
  <w:style w:type="paragraph" w:styleId="PlainText">
    <w:name w:val="Plain Text"/>
    <w:basedOn w:val="Normal"/>
    <w:link w:val="PlainTextChar"/>
    <w:uiPriority w:val="99"/>
    <w:semiHidden/>
    <w:unhideWhenUsed/>
    <w:rsid w:val="00E90AB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90ABE"/>
    <w:rPr>
      <w:rFonts w:ascii="Consolas" w:hAnsi="Consolas"/>
      <w:sz w:val="21"/>
      <w:szCs w:val="21"/>
    </w:rPr>
  </w:style>
  <w:style w:type="character" w:customStyle="1" w:styleId="cit">
    <w:name w:val="cit"/>
    <w:basedOn w:val="DefaultParagraphFont"/>
    <w:rsid w:val="00E90ABE"/>
  </w:style>
  <w:style w:type="character" w:styleId="Emphasis">
    <w:name w:val="Emphasis"/>
    <w:basedOn w:val="DefaultParagraphFont"/>
    <w:uiPriority w:val="20"/>
    <w:qFormat/>
    <w:rsid w:val="00E90ABE"/>
    <w:rPr>
      <w:i/>
    </w:rPr>
  </w:style>
  <w:style w:type="paragraph" w:styleId="EndnoteText">
    <w:name w:val="endnote text"/>
    <w:basedOn w:val="Normal"/>
    <w:link w:val="EndnoteTextChar"/>
    <w:uiPriority w:val="99"/>
    <w:unhideWhenUsed/>
    <w:rsid w:val="00E90ABE"/>
    <w:pPr>
      <w:spacing w:after="0" w:line="240" w:lineRule="auto"/>
    </w:pPr>
    <w:rPr>
      <w:rFonts w:ascii="Calibri" w:hAnsi="Calibri" w:cs="Calibri"/>
      <w:sz w:val="20"/>
      <w:szCs w:val="20"/>
      <w:lang w:eastAsia="en-AU"/>
    </w:rPr>
  </w:style>
  <w:style w:type="character" w:customStyle="1" w:styleId="EndnoteTextChar">
    <w:name w:val="Endnote Text Char"/>
    <w:basedOn w:val="DefaultParagraphFont"/>
    <w:link w:val="EndnoteText"/>
    <w:uiPriority w:val="99"/>
    <w:rsid w:val="00E90ABE"/>
    <w:rPr>
      <w:rFonts w:ascii="Calibri" w:hAnsi="Calibri" w:cs="Calibri"/>
      <w:sz w:val="20"/>
      <w:szCs w:val="20"/>
      <w:lang w:eastAsia="en-AU"/>
    </w:rPr>
  </w:style>
  <w:style w:type="character" w:customStyle="1" w:styleId="Heading1Char">
    <w:name w:val="Heading 1 Char"/>
    <w:basedOn w:val="DefaultParagraphFont"/>
    <w:link w:val="Heading1"/>
    <w:uiPriority w:val="9"/>
    <w:rsid w:val="0035225B"/>
    <w:rPr>
      <w:rFonts w:ascii="Arial" w:eastAsiaTheme="majorEastAsia" w:hAnsi="Arial" w:cstheme="majorBidi"/>
      <w:b/>
      <w:color w:val="ED7D31" w:themeColor="accent2"/>
      <w:sz w:val="36"/>
      <w:szCs w:val="32"/>
    </w:rPr>
  </w:style>
  <w:style w:type="character" w:customStyle="1" w:styleId="Heading2Char">
    <w:name w:val="Heading 2 Char"/>
    <w:basedOn w:val="DefaultParagraphFont"/>
    <w:link w:val="Heading2"/>
    <w:uiPriority w:val="9"/>
    <w:rsid w:val="00626C56"/>
    <w:rPr>
      <w:rFonts w:ascii="Arial" w:eastAsiaTheme="majorEastAsia" w:hAnsi="Arial" w:cstheme="majorBidi"/>
      <w:color w:val="1F3864" w:themeColor="accent1" w:themeShade="80"/>
      <w:sz w:val="30"/>
      <w:szCs w:val="26"/>
    </w:rPr>
  </w:style>
  <w:style w:type="character" w:customStyle="1" w:styleId="Heading3Char">
    <w:name w:val="Heading 3 Char"/>
    <w:basedOn w:val="DefaultParagraphFont"/>
    <w:link w:val="Heading3"/>
    <w:uiPriority w:val="9"/>
    <w:rsid w:val="00943202"/>
    <w:rPr>
      <w:rFonts w:ascii="Arial" w:eastAsiaTheme="majorEastAsia" w:hAnsi="Arial" w:cstheme="majorBidi"/>
      <w:color w:val="ED7D31" w:themeColor="accent2"/>
      <w:sz w:val="24"/>
      <w:szCs w:val="24"/>
    </w:rPr>
  </w:style>
  <w:style w:type="paragraph" w:styleId="TOCHeading">
    <w:name w:val="TOC Heading"/>
    <w:basedOn w:val="Heading1"/>
    <w:next w:val="Normal"/>
    <w:uiPriority w:val="39"/>
    <w:unhideWhenUsed/>
    <w:qFormat/>
    <w:rsid w:val="00943202"/>
    <w:pPr>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F46DFA"/>
    <w:pPr>
      <w:tabs>
        <w:tab w:val="right" w:leader="dot" w:pos="9016"/>
      </w:tabs>
      <w:spacing w:after="100"/>
    </w:pPr>
    <w:rPr>
      <w:rFonts w:ascii="Arial" w:hAnsi="Arial"/>
      <w:b/>
      <w:noProof/>
    </w:rPr>
  </w:style>
  <w:style w:type="paragraph" w:styleId="TOC2">
    <w:name w:val="toc 2"/>
    <w:next w:val="Normal"/>
    <w:autoRedefine/>
    <w:uiPriority w:val="39"/>
    <w:unhideWhenUsed/>
    <w:rsid w:val="00F46DFA"/>
    <w:pPr>
      <w:spacing w:after="100"/>
      <w:ind w:left="220"/>
    </w:pPr>
    <w:rPr>
      <w:rFonts w:ascii="Arial" w:hAnsi="Arial"/>
      <w:color w:val="000000" w:themeColor="text1"/>
    </w:rPr>
  </w:style>
  <w:style w:type="paragraph" w:styleId="TOC3">
    <w:name w:val="toc 3"/>
    <w:basedOn w:val="Normal"/>
    <w:next w:val="Normal"/>
    <w:autoRedefine/>
    <w:uiPriority w:val="39"/>
    <w:unhideWhenUsed/>
    <w:rsid w:val="00943202"/>
    <w:pPr>
      <w:spacing w:after="100"/>
      <w:ind w:left="440"/>
    </w:pPr>
  </w:style>
  <w:style w:type="paragraph" w:styleId="Revision">
    <w:name w:val="Revision"/>
    <w:hidden/>
    <w:uiPriority w:val="99"/>
    <w:semiHidden/>
    <w:rsid w:val="00DF162F"/>
    <w:pPr>
      <w:spacing w:after="0" w:line="240" w:lineRule="auto"/>
    </w:pPr>
  </w:style>
  <w:style w:type="character" w:customStyle="1" w:styleId="text">
    <w:name w:val="text"/>
    <w:basedOn w:val="DefaultParagraphFont"/>
    <w:rsid w:val="00CC66FC"/>
  </w:style>
  <w:style w:type="character" w:customStyle="1" w:styleId="author-ref">
    <w:name w:val="author-ref"/>
    <w:basedOn w:val="DefaultParagraphFont"/>
    <w:rsid w:val="00CC66FC"/>
  </w:style>
  <w:style w:type="character" w:styleId="Strong">
    <w:name w:val="Strong"/>
    <w:basedOn w:val="DefaultParagraphFont"/>
    <w:uiPriority w:val="22"/>
    <w:qFormat/>
    <w:rsid w:val="009771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49421">
      <w:bodyDiv w:val="1"/>
      <w:marLeft w:val="0"/>
      <w:marRight w:val="0"/>
      <w:marTop w:val="0"/>
      <w:marBottom w:val="0"/>
      <w:divBdr>
        <w:top w:val="none" w:sz="0" w:space="0" w:color="auto"/>
        <w:left w:val="none" w:sz="0" w:space="0" w:color="auto"/>
        <w:bottom w:val="none" w:sz="0" w:space="0" w:color="auto"/>
        <w:right w:val="none" w:sz="0" w:space="0" w:color="auto"/>
      </w:divBdr>
    </w:div>
    <w:div w:id="51123543">
      <w:bodyDiv w:val="1"/>
      <w:marLeft w:val="0"/>
      <w:marRight w:val="0"/>
      <w:marTop w:val="0"/>
      <w:marBottom w:val="0"/>
      <w:divBdr>
        <w:top w:val="none" w:sz="0" w:space="0" w:color="auto"/>
        <w:left w:val="none" w:sz="0" w:space="0" w:color="auto"/>
        <w:bottom w:val="none" w:sz="0" w:space="0" w:color="auto"/>
        <w:right w:val="none" w:sz="0" w:space="0" w:color="auto"/>
      </w:divBdr>
    </w:div>
    <w:div w:id="227572660">
      <w:bodyDiv w:val="1"/>
      <w:marLeft w:val="0"/>
      <w:marRight w:val="0"/>
      <w:marTop w:val="0"/>
      <w:marBottom w:val="0"/>
      <w:divBdr>
        <w:top w:val="none" w:sz="0" w:space="0" w:color="auto"/>
        <w:left w:val="none" w:sz="0" w:space="0" w:color="auto"/>
        <w:bottom w:val="none" w:sz="0" w:space="0" w:color="auto"/>
        <w:right w:val="none" w:sz="0" w:space="0" w:color="auto"/>
      </w:divBdr>
    </w:div>
    <w:div w:id="351227527">
      <w:bodyDiv w:val="1"/>
      <w:marLeft w:val="0"/>
      <w:marRight w:val="0"/>
      <w:marTop w:val="0"/>
      <w:marBottom w:val="0"/>
      <w:divBdr>
        <w:top w:val="none" w:sz="0" w:space="0" w:color="auto"/>
        <w:left w:val="none" w:sz="0" w:space="0" w:color="auto"/>
        <w:bottom w:val="none" w:sz="0" w:space="0" w:color="auto"/>
        <w:right w:val="none" w:sz="0" w:space="0" w:color="auto"/>
      </w:divBdr>
    </w:div>
    <w:div w:id="462381197">
      <w:bodyDiv w:val="1"/>
      <w:marLeft w:val="0"/>
      <w:marRight w:val="0"/>
      <w:marTop w:val="0"/>
      <w:marBottom w:val="0"/>
      <w:divBdr>
        <w:top w:val="none" w:sz="0" w:space="0" w:color="auto"/>
        <w:left w:val="none" w:sz="0" w:space="0" w:color="auto"/>
        <w:bottom w:val="none" w:sz="0" w:space="0" w:color="auto"/>
        <w:right w:val="none" w:sz="0" w:space="0" w:color="auto"/>
      </w:divBdr>
    </w:div>
    <w:div w:id="673339399">
      <w:bodyDiv w:val="1"/>
      <w:marLeft w:val="0"/>
      <w:marRight w:val="0"/>
      <w:marTop w:val="0"/>
      <w:marBottom w:val="0"/>
      <w:divBdr>
        <w:top w:val="none" w:sz="0" w:space="0" w:color="auto"/>
        <w:left w:val="none" w:sz="0" w:space="0" w:color="auto"/>
        <w:bottom w:val="none" w:sz="0" w:space="0" w:color="auto"/>
        <w:right w:val="none" w:sz="0" w:space="0" w:color="auto"/>
      </w:divBdr>
    </w:div>
    <w:div w:id="734667001">
      <w:bodyDiv w:val="1"/>
      <w:marLeft w:val="0"/>
      <w:marRight w:val="0"/>
      <w:marTop w:val="0"/>
      <w:marBottom w:val="0"/>
      <w:divBdr>
        <w:top w:val="none" w:sz="0" w:space="0" w:color="auto"/>
        <w:left w:val="none" w:sz="0" w:space="0" w:color="auto"/>
        <w:bottom w:val="none" w:sz="0" w:space="0" w:color="auto"/>
        <w:right w:val="none" w:sz="0" w:space="0" w:color="auto"/>
      </w:divBdr>
      <w:divsChild>
        <w:div w:id="1954633125">
          <w:marLeft w:val="0"/>
          <w:marRight w:val="0"/>
          <w:marTop w:val="0"/>
          <w:marBottom w:val="0"/>
          <w:divBdr>
            <w:top w:val="none" w:sz="0" w:space="0" w:color="auto"/>
            <w:left w:val="none" w:sz="0" w:space="0" w:color="auto"/>
            <w:bottom w:val="none" w:sz="0" w:space="0" w:color="auto"/>
            <w:right w:val="none" w:sz="0" w:space="0" w:color="auto"/>
          </w:divBdr>
        </w:div>
      </w:divsChild>
    </w:div>
    <w:div w:id="786393639">
      <w:bodyDiv w:val="1"/>
      <w:marLeft w:val="0"/>
      <w:marRight w:val="0"/>
      <w:marTop w:val="0"/>
      <w:marBottom w:val="0"/>
      <w:divBdr>
        <w:top w:val="none" w:sz="0" w:space="0" w:color="auto"/>
        <w:left w:val="none" w:sz="0" w:space="0" w:color="auto"/>
        <w:bottom w:val="none" w:sz="0" w:space="0" w:color="auto"/>
        <w:right w:val="none" w:sz="0" w:space="0" w:color="auto"/>
      </w:divBdr>
    </w:div>
    <w:div w:id="820852430">
      <w:bodyDiv w:val="1"/>
      <w:marLeft w:val="0"/>
      <w:marRight w:val="0"/>
      <w:marTop w:val="0"/>
      <w:marBottom w:val="0"/>
      <w:divBdr>
        <w:top w:val="none" w:sz="0" w:space="0" w:color="auto"/>
        <w:left w:val="none" w:sz="0" w:space="0" w:color="auto"/>
        <w:bottom w:val="none" w:sz="0" w:space="0" w:color="auto"/>
        <w:right w:val="none" w:sz="0" w:space="0" w:color="auto"/>
      </w:divBdr>
      <w:divsChild>
        <w:div w:id="1498568588">
          <w:marLeft w:val="0"/>
          <w:marRight w:val="0"/>
          <w:marTop w:val="0"/>
          <w:marBottom w:val="0"/>
          <w:divBdr>
            <w:top w:val="none" w:sz="0" w:space="0" w:color="auto"/>
            <w:left w:val="none" w:sz="0" w:space="0" w:color="auto"/>
            <w:bottom w:val="none" w:sz="0" w:space="0" w:color="auto"/>
            <w:right w:val="none" w:sz="0" w:space="0" w:color="auto"/>
          </w:divBdr>
        </w:div>
        <w:div w:id="954673972">
          <w:marLeft w:val="0"/>
          <w:marRight w:val="0"/>
          <w:marTop w:val="0"/>
          <w:marBottom w:val="0"/>
          <w:divBdr>
            <w:top w:val="none" w:sz="0" w:space="0" w:color="auto"/>
            <w:left w:val="none" w:sz="0" w:space="0" w:color="auto"/>
            <w:bottom w:val="none" w:sz="0" w:space="0" w:color="auto"/>
            <w:right w:val="none" w:sz="0" w:space="0" w:color="auto"/>
          </w:divBdr>
        </w:div>
        <w:div w:id="2099134108">
          <w:marLeft w:val="0"/>
          <w:marRight w:val="0"/>
          <w:marTop w:val="0"/>
          <w:marBottom w:val="0"/>
          <w:divBdr>
            <w:top w:val="none" w:sz="0" w:space="0" w:color="auto"/>
            <w:left w:val="none" w:sz="0" w:space="0" w:color="auto"/>
            <w:bottom w:val="none" w:sz="0" w:space="0" w:color="auto"/>
            <w:right w:val="none" w:sz="0" w:space="0" w:color="auto"/>
          </w:divBdr>
        </w:div>
        <w:div w:id="1917203614">
          <w:marLeft w:val="0"/>
          <w:marRight w:val="0"/>
          <w:marTop w:val="0"/>
          <w:marBottom w:val="0"/>
          <w:divBdr>
            <w:top w:val="none" w:sz="0" w:space="0" w:color="auto"/>
            <w:left w:val="none" w:sz="0" w:space="0" w:color="auto"/>
            <w:bottom w:val="none" w:sz="0" w:space="0" w:color="auto"/>
            <w:right w:val="none" w:sz="0" w:space="0" w:color="auto"/>
          </w:divBdr>
        </w:div>
        <w:div w:id="532498955">
          <w:marLeft w:val="0"/>
          <w:marRight w:val="0"/>
          <w:marTop w:val="0"/>
          <w:marBottom w:val="0"/>
          <w:divBdr>
            <w:top w:val="none" w:sz="0" w:space="0" w:color="auto"/>
            <w:left w:val="none" w:sz="0" w:space="0" w:color="auto"/>
            <w:bottom w:val="none" w:sz="0" w:space="0" w:color="auto"/>
            <w:right w:val="none" w:sz="0" w:space="0" w:color="auto"/>
          </w:divBdr>
        </w:div>
      </w:divsChild>
    </w:div>
    <w:div w:id="1224560790">
      <w:bodyDiv w:val="1"/>
      <w:marLeft w:val="0"/>
      <w:marRight w:val="0"/>
      <w:marTop w:val="0"/>
      <w:marBottom w:val="0"/>
      <w:divBdr>
        <w:top w:val="none" w:sz="0" w:space="0" w:color="auto"/>
        <w:left w:val="none" w:sz="0" w:space="0" w:color="auto"/>
        <w:bottom w:val="none" w:sz="0" w:space="0" w:color="auto"/>
        <w:right w:val="none" w:sz="0" w:space="0" w:color="auto"/>
      </w:divBdr>
      <w:divsChild>
        <w:div w:id="1580794011">
          <w:marLeft w:val="0"/>
          <w:marRight w:val="0"/>
          <w:marTop w:val="0"/>
          <w:marBottom w:val="0"/>
          <w:divBdr>
            <w:top w:val="none" w:sz="0" w:space="0" w:color="auto"/>
            <w:left w:val="none" w:sz="0" w:space="0" w:color="auto"/>
            <w:bottom w:val="none" w:sz="0" w:space="0" w:color="auto"/>
            <w:right w:val="none" w:sz="0" w:space="0" w:color="auto"/>
          </w:divBdr>
        </w:div>
      </w:divsChild>
    </w:div>
    <w:div w:id="1532181696">
      <w:bodyDiv w:val="1"/>
      <w:marLeft w:val="0"/>
      <w:marRight w:val="0"/>
      <w:marTop w:val="0"/>
      <w:marBottom w:val="0"/>
      <w:divBdr>
        <w:top w:val="none" w:sz="0" w:space="0" w:color="auto"/>
        <w:left w:val="none" w:sz="0" w:space="0" w:color="auto"/>
        <w:bottom w:val="none" w:sz="0" w:space="0" w:color="auto"/>
        <w:right w:val="none" w:sz="0" w:space="0" w:color="auto"/>
      </w:divBdr>
    </w:div>
    <w:div w:id="1629621829">
      <w:bodyDiv w:val="1"/>
      <w:marLeft w:val="0"/>
      <w:marRight w:val="0"/>
      <w:marTop w:val="0"/>
      <w:marBottom w:val="0"/>
      <w:divBdr>
        <w:top w:val="none" w:sz="0" w:space="0" w:color="auto"/>
        <w:left w:val="none" w:sz="0" w:space="0" w:color="auto"/>
        <w:bottom w:val="none" w:sz="0" w:space="0" w:color="auto"/>
        <w:right w:val="none" w:sz="0" w:space="0" w:color="auto"/>
      </w:divBdr>
    </w:div>
    <w:div w:id="1806195292">
      <w:bodyDiv w:val="1"/>
      <w:marLeft w:val="0"/>
      <w:marRight w:val="0"/>
      <w:marTop w:val="0"/>
      <w:marBottom w:val="0"/>
      <w:divBdr>
        <w:top w:val="none" w:sz="0" w:space="0" w:color="auto"/>
        <w:left w:val="none" w:sz="0" w:space="0" w:color="auto"/>
        <w:bottom w:val="none" w:sz="0" w:space="0" w:color="auto"/>
        <w:right w:val="none" w:sz="0" w:space="0" w:color="auto"/>
      </w:divBdr>
    </w:div>
    <w:div w:id="1830436523">
      <w:bodyDiv w:val="1"/>
      <w:marLeft w:val="0"/>
      <w:marRight w:val="0"/>
      <w:marTop w:val="0"/>
      <w:marBottom w:val="0"/>
      <w:divBdr>
        <w:top w:val="none" w:sz="0" w:space="0" w:color="auto"/>
        <w:left w:val="none" w:sz="0" w:space="0" w:color="auto"/>
        <w:bottom w:val="none" w:sz="0" w:space="0" w:color="auto"/>
        <w:right w:val="none" w:sz="0" w:space="0" w:color="auto"/>
      </w:divBdr>
    </w:div>
    <w:div w:id="187400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shequal.com.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hyperlink" Target="https://whv.org.au/our-focus/gender-equity" TargetMode="External"/><Relationship Id="rId37"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hv.org.au/our-focus/gender-equality-advertis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hyperlink" Target="https://www.ocdsb.ca/UserFiles/Servers/Server_55394/File/Elementary/Special%20Education/Special%20Education%20Resources/Hear%20Me%20Understand%20Me%20Support%20Me.pdf" TargetMode="External"/><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26" Type="http://schemas.openxmlformats.org/officeDocument/2006/relationships/hyperlink" Target="https://www.vu.edu.au/sites/default/files/AHPC/pdfs/investing-in-womens-mental-health.pdf" TargetMode="External"/><Relationship Id="rId117" Type="http://schemas.openxmlformats.org/officeDocument/2006/relationships/hyperlink" Target="https://www.latrobe.edu.au/__data/assets/pdf_file/0010/1156843/Sources-of-Sexual-Health-Information-.pdf" TargetMode="External"/><Relationship Id="rId21" Type="http://schemas.openxmlformats.org/officeDocument/2006/relationships/hyperlink" Target="https://melbourneinstitute.unimelb.edu.au/__data/assets/pdf_file/0004/3504613/ri2020n26.pdf" TargetMode="External"/><Relationship Id="rId42" Type="http://schemas.openxmlformats.org/officeDocument/2006/relationships/hyperlink" Target="http://steinhardt.nyu.edu/appsych/opus/issues/2014/fall/stieflerjohnson" TargetMode="External"/><Relationship Id="rId47" Type="http://schemas.openxmlformats.org/officeDocument/2006/relationships/hyperlink" Target="file:///\\azuresrv\files\Policy%20&amp;%20Health%20Promotion\6.%20Submissions\2020-2021\Youth%20strat%202020\URL" TargetMode="External"/><Relationship Id="rId63" Type="http://schemas.openxmlformats.org/officeDocument/2006/relationships/hyperlink" Target="https://www.sciencedirect.com/science/article/abs/pii/S1049386717300130" TargetMode="External"/><Relationship Id="rId68" Type="http://schemas.openxmlformats.org/officeDocument/2006/relationships/hyperlink" Target="https://www.aihw.gov.au/reports/australias-health/suicide-and-intentional-self-harm" TargetMode="External"/><Relationship Id="rId84" Type="http://schemas.openxmlformats.org/officeDocument/2006/relationships/hyperlink" Target="https://butterfly.org.au/eating-disorders/who-does-it-affect/people-from-multicultural-communities/" TargetMode="External"/><Relationship Id="rId89" Type="http://schemas.openxmlformats.org/officeDocument/2006/relationships/hyperlink" Target="https://www.missionaustralia.com.au/news-blog/news-media/persistent-rise-in-youth-psychological-distress-spurs-urgent-call-for-action" TargetMode="External"/><Relationship Id="rId112" Type="http://schemas.openxmlformats.org/officeDocument/2006/relationships/hyperlink" Target="https://pediatrics.aappublications.org/content/pediatrics/140/6/e20173034.full.pdf" TargetMode="External"/><Relationship Id="rId133" Type="http://schemas.openxmlformats.org/officeDocument/2006/relationships/hyperlink" Target="https://whg.org.au/wp-content/uploads/2020/09/Evaluation-Report-FINAL-August-2020.pdf" TargetMode="External"/><Relationship Id="rId138" Type="http://schemas.openxmlformats.org/officeDocument/2006/relationships/hyperlink" Target="mailto:diana.greenefoster@ucsf.edu" TargetMode="External"/><Relationship Id="rId154" Type="http://schemas.openxmlformats.org/officeDocument/2006/relationships/hyperlink" Target="https://whv.org.au/resources/whv-publications/great-expectations-how-gendered-expectations-shape-early-mothering" TargetMode="External"/><Relationship Id="rId159" Type="http://schemas.openxmlformats.org/officeDocument/2006/relationships/hyperlink" Target="https://whv.org.au/resources/whv-publications/addressing-and-preventing-sexist-advertising-analysis-local-and-global" TargetMode="External"/><Relationship Id="rId170" Type="http://schemas.openxmlformats.org/officeDocument/2006/relationships/hyperlink" Target="https://healthwest.org.au/wp-content/uploads/2020/05/Working-together-with-men-how-to.pdf" TargetMode="External"/><Relationship Id="rId16" Type="http://schemas.openxmlformats.org/officeDocument/2006/relationships/hyperlink" Target="https://melbourneinstitute.unimelb.edu.au/__data/assets/pdf_file/0004/3504613/ri2020n26.pdf" TargetMode="External"/><Relationship Id="rId107" Type="http://schemas.openxmlformats.org/officeDocument/2006/relationships/hyperlink" Target="https://campaigns.health.gov.au/sites/default/files/insights_report.pdf" TargetMode="External"/><Relationship Id="rId11" Type="http://schemas.openxmlformats.org/officeDocument/2006/relationships/hyperlink" Target="https://www.missionaustralia.com.au/what-we-do/research-impact-policy-advocacy/youth-survey" TargetMode="External"/><Relationship Id="rId32" Type="http://schemas.openxmlformats.org/officeDocument/2006/relationships/hyperlink" Target="http://www.ourwatch.org.au/getmedia/1ee3e574-ce66-4acb-b8ef-186640c9d018/Everyday-Sexism_version_03.pdf.aspx" TargetMode="External"/><Relationship Id="rId37" Type="http://schemas.openxmlformats.org/officeDocument/2006/relationships/hyperlink" Target="http://www.ourwatch.org.au/getmedia/1ee3e574-ce66-4acb-b8ef-186640c9d018/Everyday-Sexism_version_03.pdf.aspx" TargetMode="External"/><Relationship Id="rId53" Type="http://schemas.openxmlformats.org/officeDocument/2006/relationships/hyperlink" Target="https://www.aihw.gov.au/getmedia/fe037cf1-0cd0-4663-a8c0-67cd09b1f30c/aihw-aus-222.pdf.aspx?inline=true" TargetMode="External"/><Relationship Id="rId58" Type="http://schemas.openxmlformats.org/officeDocument/2006/relationships/hyperlink" Target="https://www.rrh.org.au/public/assets/article_documents/article_print_2092.pdf" TargetMode="External"/><Relationship Id="rId74" Type="http://schemas.openxmlformats.org/officeDocument/2006/relationships/hyperlink" Target="https://www.orygen.org.au/About/News-And-Events/2019/Examining-emergency-department-practices-for-young" TargetMode="External"/><Relationship Id="rId79" Type="http://schemas.openxmlformats.org/officeDocument/2006/relationships/hyperlink" Target="https://www.dpmc.gov.au/resource-centre/indigenous-affairs/solutions-work-what-evidence-and-our-people-tell-us" TargetMode="External"/><Relationship Id="rId102" Type="http://schemas.openxmlformats.org/officeDocument/2006/relationships/hyperlink" Target="https://www.vichealth.vic.gov.au/-/media/ResourceCentre/PublicationsandResources/Physical-activity/2018-Sport-Participation-Research-Summary_P1.pdf?la=en&amp;hash=B739D7EA9ED1803401922FE46B5D10BB038FD2DC" TargetMode="External"/><Relationship Id="rId123" Type="http://schemas.openxmlformats.org/officeDocument/2006/relationships/hyperlink" Target="https://www.jeanhailes.org.au/resources/endometriosis-fact-sheet" TargetMode="External"/><Relationship Id="rId128" Type="http://schemas.openxmlformats.org/officeDocument/2006/relationships/hyperlink" Target="https://theconversation.com/3-out-of-10-girls-skip-class-because-of-painful-periods-and-most-wont-talk-to-their-teacher-about-it-150286" TargetMode="External"/><Relationship Id="rId144" Type="http://schemas.openxmlformats.org/officeDocument/2006/relationships/hyperlink" Target="https://credh.org.au/nature-and-extent-of-violence/" TargetMode="External"/><Relationship Id="rId149" Type="http://schemas.openxmlformats.org/officeDocument/2006/relationships/hyperlink" Target="https://humanrights.gov.au/everyones-business-sexual-harassment-sda-members" TargetMode="External"/><Relationship Id="rId5" Type="http://schemas.openxmlformats.org/officeDocument/2006/relationships/hyperlink" Target="https://www.ourwatch.org.au/resource/tracking-progress-in-prevention-full-report/" TargetMode="External"/><Relationship Id="rId90" Type="http://schemas.openxmlformats.org/officeDocument/2006/relationships/hyperlink" Target="https://www.orygen.org.au/About/News-And-Events/Looking-the-Other-Way-Young-People-and-Self-Harm" TargetMode="External"/><Relationship Id="rId95" Type="http://schemas.openxmlformats.org/officeDocument/2006/relationships/hyperlink" Target="https://ses.library.usyd.edu.au/handle/2123/20049" TargetMode="External"/><Relationship Id="rId160" Type="http://schemas.openxmlformats.org/officeDocument/2006/relationships/hyperlink" Target="https://whv.org.au/resources/whv-publications/addressing-and-preventing-sexist-advertising-analysis-local-and-global" TargetMode="External"/><Relationship Id="rId165" Type="http://schemas.openxmlformats.org/officeDocument/2006/relationships/hyperlink" Target="https://20ian81kynqg38bl3l3eh8bf-wpengine.netdna-ssl.com/wp-content/uploads/2019/05/2017NCAS-Youth-SubReport.pdf" TargetMode="External"/><Relationship Id="rId22" Type="http://schemas.openxmlformats.org/officeDocument/2006/relationships/hyperlink" Target="https://theconversation.com/5-charts-on-how-covid-19-is-hitting-australias-young-adults-hard-147254" TargetMode="External"/><Relationship Id="rId27" Type="http://schemas.openxmlformats.org/officeDocument/2006/relationships/hyperlink" Target="https://en.unesco.org/women-make-the-news-2017/resources" TargetMode="External"/><Relationship Id="rId43" Type="http://schemas.openxmlformats.org/officeDocument/2006/relationships/hyperlink" Target="http://steinhardt.nyu.edu/appsych/opus/issues/2014/fall/stieflerjohnson" TargetMode="External"/><Relationship Id="rId48" Type="http://schemas.openxmlformats.org/officeDocument/2006/relationships/hyperlink" Target="https://npwomenshealthcare.com/promoting-self-esteem-in-overweight-and-obese-girls/" TargetMode="External"/><Relationship Id="rId64" Type="http://schemas.openxmlformats.org/officeDocument/2006/relationships/hyperlink" Target="https://journals.plos.org/plosone/article?id=10.1371/journal.pone.0051740" TargetMode="External"/><Relationship Id="rId69" Type="http://schemas.openxmlformats.org/officeDocument/2006/relationships/hyperlink" Target="https://apo.org.au/node/56174" TargetMode="External"/><Relationship Id="rId113" Type="http://schemas.openxmlformats.org/officeDocument/2006/relationships/hyperlink" Target="https://pediatrics.aappublications.org/content/pediatrics/140/6/e20173034.full.pdf" TargetMode="External"/><Relationship Id="rId118" Type="http://schemas.openxmlformats.org/officeDocument/2006/relationships/hyperlink" Target="https://www.latrobe.edu.au/__data/assets/pdf_file/0010/1156843/Sources-of-Sexual-Health-Information-.pdf" TargetMode="External"/><Relationship Id="rId134" Type="http://schemas.openxmlformats.org/officeDocument/2006/relationships/hyperlink" Target="https://www.latrobe.edu.au/__data/assets/pdf_file/0010/1156843/Sources-of-Sexual-Health-Information-.pdf" TargetMode="External"/><Relationship Id="rId139" Type="http://schemas.openxmlformats.org/officeDocument/2006/relationships/hyperlink" Target="https://www.ansirh.org/research/turnaway-study" TargetMode="External"/><Relationship Id="rId80" Type="http://schemas.openxmlformats.org/officeDocument/2006/relationships/hyperlink" Target="https://www.eatingdisorders.org.au/eating-disorders/what-is-an-eating-disorder/risk-factors" TargetMode="External"/><Relationship Id="rId85" Type="http://schemas.openxmlformats.org/officeDocument/2006/relationships/hyperlink" Target="https://butterfly.org.au/eating-disorders/eating-disorders-treatment/" TargetMode="External"/><Relationship Id="rId150" Type="http://schemas.openxmlformats.org/officeDocument/2006/relationships/hyperlink" Target="https://www.latrobe.edu.au/__data/assets/pdf_file/0010/1156843/Sources-of-Sexual-Health-Information-.pdf" TargetMode="External"/><Relationship Id="rId155" Type="http://schemas.openxmlformats.org/officeDocument/2006/relationships/hyperlink" Target="https://www.ncbi.nlm.nih.gov/pmc/articles/PMC2896047/" TargetMode="External"/><Relationship Id="rId171" Type="http://schemas.openxmlformats.org/officeDocument/2006/relationships/hyperlink" Target="https://jss.org.au/wp-content/uploads/2018/10/The-Man-Box-fact-sheet-Recommendations_WEB.pdf" TargetMode="External"/><Relationship Id="rId12" Type="http://schemas.openxmlformats.org/officeDocument/2006/relationships/hyperlink" Target="http://wwda.org.au/wwda-submission-to-the-united-nations-on-the-rights-of-adolescents/" TargetMode="External"/><Relationship Id="rId17" Type="http://schemas.openxmlformats.org/officeDocument/2006/relationships/hyperlink" Target="https://www.abc.net.au/news/2020-08-08/young-people-self-harming-end-up-in-hospital-emergency-rooms/12532040" TargetMode="External"/><Relationship Id="rId33" Type="http://schemas.openxmlformats.org/officeDocument/2006/relationships/hyperlink" Target="https://www.rainbowhealthvic.org.au/media/pages/research-resources/beyond-homophobia/2803782172-1605661767/beyondhomophobia-small.pdf" TargetMode="External"/><Relationship Id="rId38" Type="http://schemas.openxmlformats.org/officeDocument/2006/relationships/hyperlink" Target="https://www.missionaustralia.com.au/news-blog/news-media/persistent-rise-in-youth-psychological-distress-spurs-urgent-call-for-action" TargetMode="External"/><Relationship Id="rId59" Type="http://schemas.openxmlformats.org/officeDocument/2006/relationships/hyperlink" Target="https://www.rrh.org.au/public/assets/article_documents/article_print_2092.pdf" TargetMode="External"/><Relationship Id="rId103" Type="http://schemas.openxmlformats.org/officeDocument/2006/relationships/hyperlink" Target="https://www.vichealth.vic.gov.au/~/media/ResourceCentre/PublicationsandResources/Physical%20activity/Research%20Practice%20Fellowship%20Final%20Report_15-03-16.pdf?la=en&amp;hash=0BE0D2B96BF2A1B0428AB164E399C8021E2E127F" TargetMode="External"/><Relationship Id="rId108" Type="http://schemas.openxmlformats.org/officeDocument/2006/relationships/hyperlink" Target="https://theconversation.com/teaching-girls-to-prioritise-function-over-form-for-better-body-image-11620" TargetMode="External"/><Relationship Id="rId124" Type="http://schemas.openxmlformats.org/officeDocument/2006/relationships/hyperlink" Target="http://jeanhailes.org.au/health-a-z/endometriosis" TargetMode="External"/><Relationship Id="rId129" Type="http://schemas.openxmlformats.org/officeDocument/2006/relationships/hyperlink" Target="https://www.latrobe.edu.au/__data/assets/pdf_file/0010/1156843/Sources-of-Sexual-Health-Information-.pdf" TargetMode="External"/><Relationship Id="rId54" Type="http://schemas.openxmlformats.org/officeDocument/2006/relationships/hyperlink" Target="https://www.alswh.org.au/post-outcomes/2014-major-report-health-and-wellbeing-of-women-aged-18-to-23-in-2013-and-1996-findings-from-the-australian-longitudinal-study-on-womens-health/" TargetMode="External"/><Relationship Id="rId70" Type="http://schemas.openxmlformats.org/officeDocument/2006/relationships/hyperlink" Target="https://www.aihw.gov.au/reports/injury/suicide-hospitalised-self-harm-in-australia/contents/table-of-contents" TargetMode="External"/><Relationship Id="rId75" Type="http://schemas.openxmlformats.org/officeDocument/2006/relationships/hyperlink" Target="https://www.abc.net.au/radio-australia/programs/pm/poor-treatment-of-young-women-at-risk-of-suicide/12772456" TargetMode="External"/><Relationship Id="rId91" Type="http://schemas.openxmlformats.org/officeDocument/2006/relationships/hyperlink" Target="https://www.missionaustralia.com.au/news-blog/news-media/persistent-rise-in-youth-psychological-distress-spurs-urgent-call-for-action" TargetMode="External"/><Relationship Id="rId96" Type="http://schemas.openxmlformats.org/officeDocument/2006/relationships/hyperlink" Target="https://journals.plos.org/plosone/article?id=10.1371/journal.pone.0051740" TargetMode="External"/><Relationship Id="rId140" Type="http://schemas.openxmlformats.org/officeDocument/2006/relationships/hyperlink" Target="https://apps.who.int/iris/bitstream/handle/10665/75217/9789241503594_eng.pdf" TargetMode="External"/><Relationship Id="rId145" Type="http://schemas.openxmlformats.org/officeDocument/2006/relationships/hyperlink" Target="https://www.ourwatch.org.au/resource/tracking-progress-in-prevention-full-report/" TargetMode="External"/><Relationship Id="rId161" Type="http://schemas.openxmlformats.org/officeDocument/2006/relationships/hyperlink" Target="https://whv.org.au/resources/whv-publications/addressing-and-preventing-sexist-advertising-analysis-local-and-global" TargetMode="External"/><Relationship Id="rId166" Type="http://schemas.openxmlformats.org/officeDocument/2006/relationships/hyperlink" Target="https://humanrights.gov.au/our-work/sex-discrimination/publications/respectwork-sexual-harassment-national-inquiry-report-2020" TargetMode="External"/><Relationship Id="rId1" Type="http://schemas.openxmlformats.org/officeDocument/2006/relationships/hyperlink" Target="https://whv.org.au/resources/whv-publications/growing-unequal-how-sex-and-gender-impact-young-womens-health-and" TargetMode="External"/><Relationship Id="rId6" Type="http://schemas.openxmlformats.org/officeDocument/2006/relationships/hyperlink" Target="https://whv.org.au/resources/whv-publications/towards-gender-transformative-change-guide-practitioners" TargetMode="External"/><Relationship Id="rId15" Type="http://schemas.openxmlformats.org/officeDocument/2006/relationships/hyperlink" Target="https://www.mcwh.com.au/wp-content/uploads/MCWH-Policy-Brief_Mental-Health-.pdf" TargetMode="External"/><Relationship Id="rId23" Type="http://schemas.openxmlformats.org/officeDocument/2006/relationships/hyperlink" Target="https://journals.plos.org/plosone/article?id=10.1371/journal.pone.0142088" TargetMode="External"/><Relationship Id="rId28" Type="http://schemas.openxmlformats.org/officeDocument/2006/relationships/hyperlink" Target="https://whv.org.au/resources/whv-publications/growing-unequal-how-sex-and-gender-impact-young-womens-health-and" TargetMode="External"/><Relationship Id="rId36" Type="http://schemas.openxmlformats.org/officeDocument/2006/relationships/hyperlink" Target="https://www.missionaustralia.com.au/what-we-do/research-impact-policy-advocacy/youth-survey" TargetMode="External"/><Relationship Id="rId49" Type="http://schemas.openxmlformats.org/officeDocument/2006/relationships/hyperlink" Target="https://docs.education.gov.au/system/files/doc/other/body_image_and_disadvantaged_vulnerable_youth_final_report.pdf" TargetMode="External"/><Relationship Id="rId57" Type="http://schemas.openxmlformats.org/officeDocument/2006/relationships/hyperlink" Target="https://melbourneinstitute.unimelb.edu.au/__data/assets/pdf_file/0010/3398464/HILDA-Statistical-Report2019.pdf" TargetMode="External"/><Relationship Id="rId106" Type="http://schemas.openxmlformats.org/officeDocument/2006/relationships/hyperlink" Target="https://campaigns.health.gov.au/sites/g/files/net3246/f/insights_report.pdf" TargetMode="External"/><Relationship Id="rId114" Type="http://schemas.openxmlformats.org/officeDocument/2006/relationships/hyperlink" Target="file:///\\azuresrv\files\Policy%20&amp;%20Health%20Promotion\6.%20Submissions\2020-2021\Youth%20strat%202020\URL" TargetMode="External"/><Relationship Id="rId119" Type="http://schemas.openxmlformats.org/officeDocument/2006/relationships/hyperlink" Target="https://www.liebertpub.com/doi/abs/10.1089/jwh.2018.7615" TargetMode="External"/><Relationship Id="rId127" Type="http://schemas.openxmlformats.org/officeDocument/2006/relationships/hyperlink" Target="https://assets.jeanhailes.org.au/Fact_sheets/PCOS.pdf?_ga=2.20058808.1499365875.1607479728-1311530804.1607479728" TargetMode="External"/><Relationship Id="rId10" Type="http://schemas.openxmlformats.org/officeDocument/2006/relationships/hyperlink" Target="https://www.missionaustralia.com.au/news-blog/news-media/persistent-rise-in-youth-psychological-distress-spurs-urgent-call-for-action" TargetMode="External"/><Relationship Id="rId31" Type="http://schemas.openxmlformats.org/officeDocument/2006/relationships/hyperlink" Target="https://aifs.gov.au/media-releases/housework-and-homework-habits-australian-ten-and-eleven-year-olds" TargetMode="External"/><Relationship Id="rId44" Type="http://schemas.openxmlformats.org/officeDocument/2006/relationships/hyperlink" Target="http://journals.sagepub.com/doi/abs/10.1177/0361684315602887" TargetMode="External"/><Relationship Id="rId52" Type="http://schemas.openxmlformats.org/officeDocument/2006/relationships/hyperlink" Target="file:///\\azuresrv\files\Policy%20&amp;%20Health%20Promotion\6.%20Submissions\2020-2021\Youth%20strat%202020\URL" TargetMode="External"/><Relationship Id="rId60" Type="http://schemas.openxmlformats.org/officeDocument/2006/relationships/hyperlink" Target="http://www.jahonline.org/article/S1054-139X(15)00064-6/fulltext" TargetMode="External"/><Relationship Id="rId65" Type="http://schemas.openxmlformats.org/officeDocument/2006/relationships/hyperlink" Target="https://www.aihw.gov.au/reports/life-expectancy-death/deaths-in-australia/" TargetMode="External"/><Relationship Id="rId73" Type="http://schemas.openxmlformats.org/officeDocument/2006/relationships/hyperlink" Target="https://www.abc.net.au/radio-australia/programs/pm/poor-treatment-of-young-women-at-risk-of-suicide/12772456" TargetMode="External"/><Relationship Id="rId78" Type="http://schemas.openxmlformats.org/officeDocument/2006/relationships/hyperlink" Target="https://djirra.org.au/wp-content/uploads/2018/02/Submission-A-Victorian-Gender-Equality-Strategy-FVPLS-Victoria-FINAL.pdf" TargetMode="External"/><Relationship Id="rId81" Type="http://schemas.openxmlformats.org/officeDocument/2006/relationships/hyperlink" Target="https://www.nedc.com.au/research-and-resources/show/an-integrated-response-to-complexity-national-eating-disorders-framework" TargetMode="External"/><Relationship Id="rId86" Type="http://schemas.openxmlformats.org/officeDocument/2006/relationships/hyperlink" Target="https://theconversation.com/covid-has-presented-unique-challenges-for-people-with-eating-disorders-theyll-need-support-beyond-the-pandemic-148903" TargetMode="External"/><Relationship Id="rId94" Type="http://schemas.openxmlformats.org/officeDocument/2006/relationships/hyperlink" Target="https://ccyp.vic.gov.au/assets/COVID-Engagement/CCYP-Mental-Health-Snapshot-web.pdf" TargetMode="External"/><Relationship Id="rId99" Type="http://schemas.openxmlformats.org/officeDocument/2006/relationships/hyperlink" Target="https://www.missionaustralia.com.au/news-blog/news-media/persistent-rise-in-youth-psychological-distress-spurs-urgent-call-for-action" TargetMode="External"/><Relationship Id="rId101" Type="http://schemas.openxmlformats.org/officeDocument/2006/relationships/hyperlink" Target="https://www.vichealth.vic.gov.au/-/media/ResourceCentre/PublicationsandResources/Physical-activity/2018-Sport-Participation-Research-Summary_P1.pdf?la=en&amp;hash=B739D7EA9ED1803401922FE46B5D10BB038FD2DC" TargetMode="External"/><Relationship Id="rId122" Type="http://schemas.openxmlformats.org/officeDocument/2006/relationships/hyperlink" Target="https://www.endometriosisaustralia.org/research" TargetMode="External"/><Relationship Id="rId130" Type="http://schemas.openxmlformats.org/officeDocument/2006/relationships/hyperlink" Target="https://www.jpagonline.org/article/S1083-3188(20)30360-0/pdf" TargetMode="External"/><Relationship Id="rId135" Type="http://schemas.openxmlformats.org/officeDocument/2006/relationships/hyperlink" Target="https://www.latrobe.edu.au/__data/assets/pdf_file/0010/1156843/Sources-of-Sexual-Health-Information-.pdf" TargetMode="External"/><Relationship Id="rId143" Type="http://schemas.openxmlformats.org/officeDocument/2006/relationships/hyperlink" Target="https://www.ourwatch.org.au/change-the-story/" TargetMode="External"/><Relationship Id="rId148" Type="http://schemas.openxmlformats.org/officeDocument/2006/relationships/hyperlink" Target="https://humanrights.gov.au/everyones-business-sexual-harassment-sda-members" TargetMode="External"/><Relationship Id="rId151" Type="http://schemas.openxmlformats.org/officeDocument/2006/relationships/hyperlink" Target="https://www.vichealth.vic.gov.au/-/media/ProgramsandProjects/HealthInequalities/Attachments/VicHealth-Attitudes-to-men-and-masculinity-report-July-2020.pdf?la=en&amp;hash=28DDDA0FC51C199CF89E920CD01F72336AF81DA0" TargetMode="External"/><Relationship Id="rId156" Type="http://schemas.openxmlformats.org/officeDocument/2006/relationships/hyperlink" Target="https://www.childrenbychoice.org.au/factsandfigures/violenceandpregnancy" TargetMode="External"/><Relationship Id="rId164" Type="http://schemas.openxmlformats.org/officeDocument/2006/relationships/hyperlink" Target="https://20ian81kynqg38bl3l3eh8bf-wpengine.netdna-ssl.com/wp-content/uploads/2019/05/2017NCAS-Youth-SubReport.pdf" TargetMode="External"/><Relationship Id="rId169" Type="http://schemas.openxmlformats.org/officeDocument/2006/relationships/hyperlink" Target="file:///\\azuresrv\files\Policy%20&amp;%20Health%20Promotion\6.%20Submissions\2020-2021\Youth%20strat%202020\Framing%20masculinity:%20Message%20guide" TargetMode="External"/><Relationship Id="rId4" Type="http://schemas.openxmlformats.org/officeDocument/2006/relationships/hyperlink" Target="https://20ian81kynqg38bl3l3eh8bf-wpengine.netdna-ssl.com/wp-content/uploads/2019/05/2017NCAS-Youth-SubReport.pdf" TargetMode="External"/><Relationship Id="rId9" Type="http://schemas.openxmlformats.org/officeDocument/2006/relationships/hyperlink" Target="https://www.vu.edu.au/sites/default/files/AHPC/pdfs/investing-in-womens-mental-health.pdf" TargetMode="External"/><Relationship Id="rId172" Type="http://schemas.openxmlformats.org/officeDocument/2006/relationships/hyperlink" Target="https://www.ourwatch.org.au/resource/tracking-progress-in-prevention-full-report/" TargetMode="External"/><Relationship Id="rId13" Type="http://schemas.openxmlformats.org/officeDocument/2006/relationships/hyperlink" Target="https://apo.org.au/node/56174" TargetMode="External"/><Relationship Id="rId18" Type="http://schemas.openxmlformats.org/officeDocument/2006/relationships/hyperlink" Target="https://victorianwomenshealthatlas.net.au/" TargetMode="External"/><Relationship Id="rId39" Type="http://schemas.openxmlformats.org/officeDocument/2006/relationships/hyperlink" Target="https://whv.org.au/resources/whv-publications/advertising-inequality-impacts-sexist-advertising-women%E2%80%99s-health-and" TargetMode="External"/><Relationship Id="rId109" Type="http://schemas.openxmlformats.org/officeDocument/2006/relationships/hyperlink" Target="https://issuu.com/nyu_applied_psych_opus/docs/opusfl14_12122014" TargetMode="External"/><Relationship Id="rId34" Type="http://schemas.openxmlformats.org/officeDocument/2006/relationships/hyperlink" Target="https://www.researchgate.net/publication/334130807_Are_Young_Carers_Less_Engaged_in_School_than_Non-Carers_Evidence_from_a_Representative_Australian_Study" TargetMode="External"/><Relationship Id="rId50" Type="http://schemas.openxmlformats.org/officeDocument/2006/relationships/hyperlink" Target="https://docs.education.gov.au/system/files/doc/other/body_image_and_disadvantaged_vulnerable_youth_final_report.pdf" TargetMode="External"/><Relationship Id="rId55" Type="http://schemas.openxmlformats.org/officeDocument/2006/relationships/hyperlink" Target="https://www.abs.gov.au/AUSSTATS/abs@.nsf/DetailsPage/4364.0.55.0012014-15?OpenDocument" TargetMode="External"/><Relationship Id="rId76" Type="http://schemas.openxmlformats.org/officeDocument/2006/relationships/hyperlink" Target="https://www.blackdoginstitute.org.au/wp-content/uploads/2020/04/careafterasuicideattempt02-09-15.pdf?sfvrsn=0" TargetMode="External"/><Relationship Id="rId97" Type="http://schemas.openxmlformats.org/officeDocument/2006/relationships/hyperlink" Target="https://www.anrows.org.au/publication/implementing-trauma-informed-systems-of-care-in-health-settings-the-with-study-state-of-knowledge-paper/" TargetMode="External"/><Relationship Id="rId104" Type="http://schemas.openxmlformats.org/officeDocument/2006/relationships/hyperlink" Target="https://www.vichealth.vic.gov.au/-/media/ResourceCentre/PublicationsandResources/Physical-activity/2018-Sport-Participation-Research-Summary_P2.pdf?la=en&amp;hash=8AA243448B74EA6B37E0D4D436F7EFBB5B3F983A" TargetMode="External"/><Relationship Id="rId120" Type="http://schemas.openxmlformats.org/officeDocument/2006/relationships/hyperlink" Target="https://www.ncbi.nlm.nih.gov/pmc/articles/PMC7053437/" TargetMode="External"/><Relationship Id="rId125" Type="http://schemas.openxmlformats.org/officeDocument/2006/relationships/hyperlink" Target="https://assets.jeanhailes.org.au/Fact_sheets/PCOS.pdf?_ga=2.20058808.1499365875.1607479728-1311530804.1607479728" TargetMode="External"/><Relationship Id="rId141" Type="http://schemas.openxmlformats.org/officeDocument/2006/relationships/hyperlink" Target="https://www.fpv.org.au/assets/resources/FPV-IARSHSYP-2017.pdf" TargetMode="External"/><Relationship Id="rId146" Type="http://schemas.openxmlformats.org/officeDocument/2006/relationships/hyperlink" Target="https://20ian81kynqg38bl3l3eh8bf-wpengine.netdna-ssl.com/wp-content/uploads/2019/05/2017NCAS-Youth-SubReport.pdf" TargetMode="External"/><Relationship Id="rId167" Type="http://schemas.openxmlformats.org/officeDocument/2006/relationships/hyperlink" Target="https://promundoglobal.org/wp-content/uploads/2019/02/Masculine-Norms-Mens-Health-Report_007_Web.pdf" TargetMode="External"/><Relationship Id="rId7" Type="http://schemas.openxmlformats.org/officeDocument/2006/relationships/hyperlink" Target="https://www.who.int/health-topics/social-determinants-of-health" TargetMode="External"/><Relationship Id="rId71" Type="http://schemas.openxmlformats.org/officeDocument/2006/relationships/hyperlink" Target="https://www.telethonkids.org.au/globalassets/media/documents/brain--behaviour/trans-pathwayreport-web.pdf" TargetMode="External"/><Relationship Id="rId92" Type="http://schemas.openxmlformats.org/officeDocument/2006/relationships/hyperlink" Target="https://www.mcwh.com.au/wp-content/uploads/MCWH-Policy-Brief_Mental-Health-.pdf" TargetMode="External"/><Relationship Id="rId162" Type="http://schemas.openxmlformats.org/officeDocument/2006/relationships/hyperlink" Target="https://whv.org.au/resources/whv-publications/addressing-and-preventing-sexist-advertising-analysis-local-and-global" TargetMode="External"/><Relationship Id="rId2" Type="http://schemas.openxmlformats.org/officeDocument/2006/relationships/hyperlink" Target="https://www.health.gov.au/sites/default/files/secondary-school-students-use-of-tobacco-alcohol-and-other-drugs-in-2014.pdf" TargetMode="External"/><Relationship Id="rId29" Type="http://schemas.openxmlformats.org/officeDocument/2006/relationships/hyperlink" Target="https://www.missionaustralia.com.au/what-we-do/research-impact-policy-advocacy/youth-survey" TargetMode="External"/><Relationship Id="rId24" Type="http://schemas.openxmlformats.org/officeDocument/2006/relationships/hyperlink" Target="https://www.missionaustralia.com.au/what-we-do/research-impact-policy-advocacy/youth-survey" TargetMode="External"/><Relationship Id="rId40" Type="http://schemas.openxmlformats.org/officeDocument/2006/relationships/hyperlink" Target="https://whv.org.au/resources/whv-publications/advertising-inequality-impacts-sexist-advertising-women%E2%80%99s-health-and" TargetMode="External"/><Relationship Id="rId45" Type="http://schemas.openxmlformats.org/officeDocument/2006/relationships/hyperlink" Target="https://jeatdisord.biomedcentral.com/articles/10.1186/2050-2974-1-45" TargetMode="External"/><Relationship Id="rId66" Type="http://schemas.openxmlformats.org/officeDocument/2006/relationships/hyperlink" Target="https://www.aihw.gov.au/getmedia/2d0fa276-0b92-42a6-a362-19473c7a035d/aihw-injcat-212.pdf.aspx" TargetMode="External"/><Relationship Id="rId87" Type="http://schemas.openxmlformats.org/officeDocument/2006/relationships/hyperlink" Target="https://butterfly.org.au/wp-content/uploads/2020/05/Butterfly_MAYDAYS_PushingPastPostcodes_SurveyReport.pdf" TargetMode="External"/><Relationship Id="rId110" Type="http://schemas.openxmlformats.org/officeDocument/2006/relationships/hyperlink" Target="https://whv.org.au/resources/whv-publications/serving-inequality-how-sex-and-gender-impact-womens-relationship-food" TargetMode="External"/><Relationship Id="rId115" Type="http://schemas.openxmlformats.org/officeDocument/2006/relationships/hyperlink" Target="https://www.sddirect.org.uk/media/1343/we-want-to-learn-about-good-love.pdf" TargetMode="External"/><Relationship Id="rId131" Type="http://schemas.openxmlformats.org/officeDocument/2006/relationships/hyperlink" Target="https://pubmed.ncbi.nlm.nih.gov/28349513/" TargetMode="External"/><Relationship Id="rId136" Type="http://schemas.openxmlformats.org/officeDocument/2006/relationships/hyperlink" Target="https://www.latrobe.edu.au/__data/assets/pdf_file/0010/1156843/Sources-of-Sexual-Health-Information-.pdf" TargetMode="External"/><Relationship Id="rId157" Type="http://schemas.openxmlformats.org/officeDocument/2006/relationships/hyperlink" Target="https://www.mariestopes.org.au/wp-content/uploads/Hidden-Forces_MSA-RC-White-Paper_FINAL_WEB.pdf" TargetMode="External"/><Relationship Id="rId61" Type="http://schemas.openxmlformats.org/officeDocument/2006/relationships/hyperlink" Target="https://link.springer.com/article/10.1007/s00737-014-0417-8" TargetMode="External"/><Relationship Id="rId82" Type="http://schemas.openxmlformats.org/officeDocument/2006/relationships/hyperlink" Target="https://www.nedc.com.au/assets/Fact-Sheets/Eating-Disorders-in-Australia-ENG.pdf" TargetMode="External"/><Relationship Id="rId152" Type="http://schemas.openxmlformats.org/officeDocument/2006/relationships/hyperlink" Target="https://www.mariestopes.org.au/wp-content/uploads/Hidden-Forces_MSA-RC-White-Paper_FINAL_WEB.pdf" TargetMode="External"/><Relationship Id="rId19" Type="http://schemas.openxmlformats.org/officeDocument/2006/relationships/hyperlink" Target="https://www.vichealth.vic.gov.au/-/media/ResearchandEvidence/VicHealthResearchFellows_2011/20200914_VicHealthVictorian_Coronavirus_Wellbeing_Impact_Study_Report.pdf?la=en&amp;hash=27CB25E7BAAB7D673A81ED5CF46C5E75FB98B288" TargetMode="External"/><Relationship Id="rId14" Type="http://schemas.openxmlformats.org/officeDocument/2006/relationships/hyperlink" Target="https://www.missionaustralia.com.au/what-we-do/research-impact-policy-advocacy/youth-survey" TargetMode="External"/><Relationship Id="rId30" Type="http://schemas.openxmlformats.org/officeDocument/2006/relationships/hyperlink" Target="http://www.jahonline.org/article/S1054-139X(15)00064-6/fulltext" TargetMode="External"/><Relationship Id="rId35" Type="http://schemas.openxmlformats.org/officeDocument/2006/relationships/hyperlink" Target="https://www.researchgate.net/publication/334130807_Are_Young_Carers_Less_Engaged_in_School_than_Non-Carers_Evidence_from_a_Representative_Australian_Study" TargetMode="External"/><Relationship Id="rId56" Type="http://schemas.openxmlformats.org/officeDocument/2006/relationships/hyperlink" Target="https://www.abs.gov.au/AUSSTATS/abs@.nsf/DetailsPage/4364.0.55.0012014-15?OpenDocument" TargetMode="External"/><Relationship Id="rId77" Type="http://schemas.openxmlformats.org/officeDocument/2006/relationships/hyperlink" Target="https://www.anrows.org.au/publication/implementing-trauma-informed-systems-of-care-in-health-settings-the-with-study-state-of-knowledge-paper/" TargetMode="External"/><Relationship Id="rId100" Type="http://schemas.openxmlformats.org/officeDocument/2006/relationships/hyperlink" Target="https://www.vichealth.vic.gov.au/~/media/ResourceCentre/PublicationsandResources/Life%20Stages/Life%20stages%20-%20Youth.pdf" TargetMode="External"/><Relationship Id="rId105" Type="http://schemas.openxmlformats.org/officeDocument/2006/relationships/hyperlink" Target="file:///\\azuresrv\files\Policy%20&amp;%20Health%20Promotion\6.%20Submissions\2020-2021\Youth%20strat%202020\URL" TargetMode="External"/><Relationship Id="rId126" Type="http://schemas.openxmlformats.org/officeDocument/2006/relationships/hyperlink" Target="https://www.healthdirect.gov.au/polycystic-ovarian-syndrome-pcos" TargetMode="External"/><Relationship Id="rId147" Type="http://schemas.openxmlformats.org/officeDocument/2006/relationships/hyperlink" Target="https://humanrights.gov.au/our-work/sex-discrimination/publications/change-course-national-report-sexual-assault-and-sexual" TargetMode="External"/><Relationship Id="rId168" Type="http://schemas.openxmlformats.org/officeDocument/2006/relationships/hyperlink" Target="https://www.ourwatch.org.au/resource/tracking-progress-in-prevention-full-report/" TargetMode="External"/><Relationship Id="rId8" Type="http://schemas.openxmlformats.org/officeDocument/2006/relationships/hyperlink" Target="https://www.ncbi.nlm.nih.gov/pmc/articles/PMC4662048/" TargetMode="External"/><Relationship Id="rId51" Type="http://schemas.openxmlformats.org/officeDocument/2006/relationships/hyperlink" Target="https://docs.education.gov.au/system/files/doc/other/body_image_and_disadvantaged_vulnerable_youth_final_report.pdf" TargetMode="External"/><Relationship Id="rId72" Type="http://schemas.openxmlformats.org/officeDocument/2006/relationships/hyperlink" Target="https://aifs.gov.au/publications/self-harm-and-suicidal-behaviour-young-people-aged-14-15-years-old" TargetMode="External"/><Relationship Id="rId93" Type="http://schemas.openxmlformats.org/officeDocument/2006/relationships/hyperlink" Target="https://www.researchgate.net/publication/334130807_Are_Young_Carers_Less_Engaged_in_School_than_Non-Carers_Evidence_from_a_Representative_Australian_Study" TargetMode="External"/><Relationship Id="rId98" Type="http://schemas.openxmlformats.org/officeDocument/2006/relationships/hyperlink" Target="https://www.mcwh.com.au/wp-content/uploads/MCWH-Policy-Brief_Mental-Health-.pdf" TargetMode="External"/><Relationship Id="rId121" Type="http://schemas.openxmlformats.org/officeDocument/2006/relationships/hyperlink" Target="https://www.jpagonline.org/article/S1083-3188(20)30360-0/pdf" TargetMode="External"/><Relationship Id="rId142" Type="http://schemas.openxmlformats.org/officeDocument/2006/relationships/hyperlink" Target="https://20ian81kynqg38bl3l3eh8bf-wpengine.netdna-ssl.com/wp-content/uploads/2019/05/2017NCAS-Youth-SubReport.pdf" TargetMode="External"/><Relationship Id="rId163" Type="http://schemas.openxmlformats.org/officeDocument/2006/relationships/hyperlink" Target="https://20ian81kynqg38bl3l3eh8bf-wpengine.netdna-ssl.com/wp-content/uploads/2019/05/2017NCAS-Youth-SubReport.pdf" TargetMode="External"/><Relationship Id="rId3" Type="http://schemas.openxmlformats.org/officeDocument/2006/relationships/hyperlink" Target="https://www.vichealth.vic.gov.au/-/media/ResourceCentre/PublicationsandResources/Physical-activity/2018-Sport-Participation-Research-Summary_P1.pdf?la=en&amp;hash=B739D7EA9ED1803401922FE46B5D10BB038FD2DC" TargetMode="External"/><Relationship Id="rId25" Type="http://schemas.openxmlformats.org/officeDocument/2006/relationships/hyperlink" Target="https://www.missionaustralia.com.au/news-blog/news-media/persistent-rise-in-youth-psychological-distress-spurs-urgent-call-for-action" TargetMode="External"/><Relationship Id="rId46" Type="http://schemas.openxmlformats.org/officeDocument/2006/relationships/hyperlink" Target="https://research-repository.griffith.edu.au/handle/10072/60405" TargetMode="External"/><Relationship Id="rId67" Type="http://schemas.openxmlformats.org/officeDocument/2006/relationships/hyperlink" Target="https://www.orygen.org.au/About/News-And-Events/Looking-the-Other-Way-Young-People-and-Self-Harm" TargetMode="External"/><Relationship Id="rId116" Type="http://schemas.openxmlformats.org/officeDocument/2006/relationships/hyperlink" Target="https://www.latrobe.edu.au/__data/assets/pdf_file/0010/1156843/Sources-of-Sexual-Health-Information-.pdf" TargetMode="External"/><Relationship Id="rId137" Type="http://schemas.openxmlformats.org/officeDocument/2006/relationships/hyperlink" Target="https://www.latrobe.edu.au/__data/assets/pdf_file/0010/1156843/Sources-of-Sexual-Health-Information-.pdf" TargetMode="External"/><Relationship Id="rId158" Type="http://schemas.openxmlformats.org/officeDocument/2006/relationships/hyperlink" Target="https://whv.org.au/resources/whv-publications/advertising-inequality-impacts-sexist-advertising-women%E2%80%99s-health-and" TargetMode="External"/><Relationship Id="rId20" Type="http://schemas.openxmlformats.org/officeDocument/2006/relationships/hyperlink" Target="https://www.vichealth.vic.gov.au/-/media/ResearchandEvidence/VicHealthResearchFellows_2011/20200914_VicHealthVictorian_Coronavirus_Wellbeing_Impact_Study_Report.pdf?la=en&amp;hash=27CB25E7BAAB7D673A81ED5CF46C5E75FB98B288" TargetMode="External"/><Relationship Id="rId41" Type="http://schemas.openxmlformats.org/officeDocument/2006/relationships/hyperlink" Target="https://research-repository.griffith.edu.au/handle/10072/60405" TargetMode="External"/><Relationship Id="rId62" Type="http://schemas.openxmlformats.org/officeDocument/2006/relationships/hyperlink" Target="https://www.sciencedirect.com/science/article/abs/pii/S1049386717300130" TargetMode="External"/><Relationship Id="rId83" Type="http://schemas.openxmlformats.org/officeDocument/2006/relationships/hyperlink" Target="https://butterfly.org.au/eating-disorders/risks-and-warning-signs/" TargetMode="External"/><Relationship Id="rId88" Type="http://schemas.openxmlformats.org/officeDocument/2006/relationships/hyperlink" Target="https://butterfly.org.au/wp-content/uploads/2020/05/Butterfly_MAYDAYS_PushingPastPostcodes_SurveyReport.pdf" TargetMode="External"/><Relationship Id="rId111" Type="http://schemas.openxmlformats.org/officeDocument/2006/relationships/hyperlink" Target="https://www.nedc.com.au/assets/NEDC-Publications/Obesity-Review-electronic-copy-cover2.pdf" TargetMode="External"/><Relationship Id="rId132" Type="http://schemas.openxmlformats.org/officeDocument/2006/relationships/hyperlink" Target="https://www.latrobe.edu.au/__data/assets/pdf_file/0006/1072788/National-Survey-of-Australian-Secondary-Students-and-Sexual-Health-1992-2018-Trends-Over-Time.pdf" TargetMode="External"/><Relationship Id="rId153" Type="http://schemas.openxmlformats.org/officeDocument/2006/relationships/hyperlink" Target="https://aifs.gov.au/cfca/publications/domestic-and-family-violence-pregnancy-and-early-parenthoo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DocumentLibraryPermissions xmlns="30d3579b-94eb-41b9-9121-8160a1d40b2b" xsi:nil="true"/>
    <MigrationWizId xmlns="30d3579b-94eb-41b9-9121-8160a1d40b2b" xsi:nil="true"/>
    <MigrationWizIdPermissionLevels xmlns="30d3579b-94eb-41b9-9121-8160a1d40b2b" xsi:nil="true"/>
    <MigrationWizIdSecurityGroups xmlns="30d3579b-94eb-41b9-9121-8160a1d40b2b" xsi:nil="true"/>
    <MigrationWizIdPermissions xmlns="30d3579b-94eb-41b9-9121-8160a1d40b2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71B8E9C0D017D4FB97577FBE463FADA" ma:contentTypeVersion="17" ma:contentTypeDescription="Create a new document." ma:contentTypeScope="" ma:versionID="55ba6ecaaa9431e638d08e6b6bd7796a">
  <xsd:schema xmlns:xsd="http://www.w3.org/2001/XMLSchema" xmlns:xs="http://www.w3.org/2001/XMLSchema" xmlns:p="http://schemas.microsoft.com/office/2006/metadata/properties" xmlns:ns3="30d3579b-94eb-41b9-9121-8160a1d40b2b" xmlns:ns4="2ba9b4eb-fff9-477c-b1c1-ea367a8af1b1" targetNamespace="http://schemas.microsoft.com/office/2006/metadata/properties" ma:root="true" ma:fieldsID="51df4c75c07359acdae6f60166e4301e" ns3:_="" ns4:_="">
    <xsd:import namespace="30d3579b-94eb-41b9-9121-8160a1d40b2b"/>
    <xsd:import namespace="2ba9b4eb-fff9-477c-b1c1-ea367a8af1b1"/>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3579b-94eb-41b9-9121-8160a1d40b2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8" nillable="true" ma:displayName="MediaServiceAutoTags"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a9b4eb-fff9-477c-b1c1-ea367a8af1b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2975F2-F061-4CA2-9B10-0FD0DE69557F}">
  <ds:schemaRefs>
    <ds:schemaRef ds:uri="http://schemas.openxmlformats.org/officeDocument/2006/bibliography"/>
  </ds:schemaRefs>
</ds:datastoreItem>
</file>

<file path=customXml/itemProps2.xml><?xml version="1.0" encoding="utf-8"?>
<ds:datastoreItem xmlns:ds="http://schemas.openxmlformats.org/officeDocument/2006/customXml" ds:itemID="{ED65A718-1474-45CB-87C7-04C80532A57F}">
  <ds:schemaRefs>
    <ds:schemaRef ds:uri="http://schemas.microsoft.com/sharepoint/v3/contenttype/forms"/>
  </ds:schemaRefs>
</ds:datastoreItem>
</file>

<file path=customXml/itemProps3.xml><?xml version="1.0" encoding="utf-8"?>
<ds:datastoreItem xmlns:ds="http://schemas.openxmlformats.org/officeDocument/2006/customXml" ds:itemID="{0E0897BF-A2C1-4A3F-8406-2F9F06831FD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ba9b4eb-fff9-477c-b1c1-ea367a8af1b1"/>
    <ds:schemaRef ds:uri="http://purl.org/dc/elements/1.1/"/>
    <ds:schemaRef ds:uri="http://schemas.microsoft.com/office/2006/metadata/properties"/>
    <ds:schemaRef ds:uri="30d3579b-94eb-41b9-9121-8160a1d40b2b"/>
    <ds:schemaRef ds:uri="http://www.w3.org/XML/1998/namespace"/>
    <ds:schemaRef ds:uri="http://purl.org/dc/dcmitype/"/>
  </ds:schemaRefs>
</ds:datastoreItem>
</file>

<file path=customXml/itemProps4.xml><?xml version="1.0" encoding="utf-8"?>
<ds:datastoreItem xmlns:ds="http://schemas.openxmlformats.org/officeDocument/2006/customXml" ds:itemID="{AC14DF8B-2AF8-49EB-8E1B-AA0289238C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3579b-94eb-41b9-9121-8160a1d40b2b"/>
    <ds:schemaRef ds:uri="2ba9b4eb-fff9-477c-b1c1-ea367a8af1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47</Pages>
  <Words>14876</Words>
  <Characters>84798</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Django Love</dc:creator>
  <cp:keywords/>
  <dc:description/>
  <cp:lastModifiedBy>Renata Anderson</cp:lastModifiedBy>
  <cp:revision>9</cp:revision>
  <cp:lastPrinted>2020-12-17T05:47:00Z</cp:lastPrinted>
  <dcterms:created xsi:type="dcterms:W3CDTF">2020-12-17T03:52:00Z</dcterms:created>
  <dcterms:modified xsi:type="dcterms:W3CDTF">2021-02-09T23:52:00Z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0x010100971B8E9C0D017D4FB97577FBE463FADA</vt:lpwstr>
  </property>
</Properties>
</file>