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1351F" w14:textId="7C2A0674" w:rsidR="009804CA" w:rsidRPr="00E83B1A" w:rsidRDefault="008204A5" w:rsidP="00E83B1A">
      <w:pPr>
        <w:spacing w:before="360" w:after="120" w:line="240" w:lineRule="auto"/>
        <w:ind w:left="-284"/>
        <w:rPr>
          <w:rFonts w:eastAsiaTheme="majorEastAsia" w:cstheme="minorHAnsi"/>
          <w:b/>
          <w:bCs/>
          <w:color w:val="009CA6"/>
          <w:sz w:val="40"/>
          <w:szCs w:val="40"/>
        </w:rPr>
      </w:pPr>
      <w:r w:rsidRPr="00E83B1A">
        <w:rPr>
          <w:rFonts w:eastAsiaTheme="majorEastAsia" w:cstheme="minorHAnsi"/>
          <w:b/>
          <w:bCs/>
          <w:color w:val="009CA6"/>
          <w:sz w:val="40"/>
          <w:szCs w:val="40"/>
        </w:rPr>
        <w:t>Consultation on proposed n</w:t>
      </w:r>
      <w:r w:rsidR="009804CA" w:rsidRPr="00E83B1A">
        <w:rPr>
          <w:rFonts w:eastAsiaTheme="majorEastAsia" w:cstheme="minorHAnsi"/>
          <w:b/>
          <w:bCs/>
          <w:color w:val="009CA6"/>
          <w:sz w:val="40"/>
          <w:szCs w:val="40"/>
        </w:rPr>
        <w:t xml:space="preserve">ational </w:t>
      </w:r>
      <w:r w:rsidRPr="00E83B1A">
        <w:rPr>
          <w:rFonts w:eastAsiaTheme="majorEastAsia" w:cstheme="minorHAnsi"/>
          <w:b/>
          <w:bCs/>
          <w:color w:val="009CA6"/>
          <w:sz w:val="40"/>
          <w:szCs w:val="40"/>
        </w:rPr>
        <w:t>o</w:t>
      </w:r>
      <w:r w:rsidR="009804CA" w:rsidRPr="00E83B1A">
        <w:rPr>
          <w:rFonts w:eastAsiaTheme="majorEastAsia" w:cstheme="minorHAnsi"/>
          <w:b/>
          <w:bCs/>
          <w:color w:val="009CA6"/>
          <w:sz w:val="40"/>
          <w:szCs w:val="40"/>
        </w:rPr>
        <w:t xml:space="preserve">besity </w:t>
      </w:r>
      <w:r w:rsidRPr="00E83B1A">
        <w:rPr>
          <w:rFonts w:eastAsiaTheme="majorEastAsia" w:cstheme="minorHAnsi"/>
          <w:b/>
          <w:bCs/>
          <w:color w:val="009CA6"/>
          <w:sz w:val="40"/>
          <w:szCs w:val="40"/>
        </w:rPr>
        <w:t>s</w:t>
      </w:r>
      <w:r w:rsidR="009804CA" w:rsidRPr="00E83B1A">
        <w:rPr>
          <w:rFonts w:eastAsiaTheme="majorEastAsia" w:cstheme="minorHAnsi"/>
          <w:b/>
          <w:bCs/>
          <w:color w:val="009CA6"/>
          <w:sz w:val="40"/>
          <w:szCs w:val="40"/>
        </w:rPr>
        <w:t xml:space="preserve">trategy </w:t>
      </w:r>
    </w:p>
    <w:p w14:paraId="452F8E20" w14:textId="77777777" w:rsidR="009804CA" w:rsidRPr="00A35914" w:rsidRDefault="009804CA" w:rsidP="002C62D1">
      <w:pPr>
        <w:pStyle w:val="Heading2"/>
        <w:spacing w:before="0" w:after="120" w:line="276" w:lineRule="auto"/>
        <w:ind w:left="-284" w:right="-330"/>
        <w:rPr>
          <w:rFonts w:asciiTheme="minorHAnsi" w:hAnsiTheme="minorHAnsi" w:cstheme="minorHAnsi"/>
          <w:b/>
          <w:bCs/>
          <w:color w:val="002F6C"/>
          <w:sz w:val="32"/>
          <w:szCs w:val="32"/>
        </w:rPr>
      </w:pPr>
      <w:r w:rsidRPr="00A35914">
        <w:rPr>
          <w:rFonts w:asciiTheme="minorHAnsi" w:hAnsiTheme="minorHAnsi" w:cstheme="minorHAnsi"/>
          <w:b/>
          <w:bCs/>
          <w:color w:val="002F6C"/>
          <w:sz w:val="32"/>
          <w:szCs w:val="32"/>
        </w:rPr>
        <w:t>Submission prepared by Women’s Health Victoria, December 2019</w:t>
      </w:r>
    </w:p>
    <w:p w14:paraId="4C6C2D61" w14:textId="77777777" w:rsidR="009804CA" w:rsidRPr="00A35914" w:rsidRDefault="009804CA" w:rsidP="00A35914">
      <w:pPr>
        <w:pStyle w:val="Heading3"/>
        <w:spacing w:after="80" w:line="276" w:lineRule="auto"/>
        <w:ind w:left="-284" w:right="-329"/>
        <w:rPr>
          <w:rFonts w:cstheme="minorHAnsi"/>
          <w:sz w:val="28"/>
          <w:szCs w:val="28"/>
        </w:rPr>
      </w:pPr>
      <w:r w:rsidRPr="00A35914">
        <w:rPr>
          <w:rFonts w:cstheme="minorHAnsi"/>
          <w:sz w:val="28"/>
          <w:szCs w:val="28"/>
        </w:rPr>
        <w:t>I</w:t>
      </w:r>
      <w:bookmarkStart w:id="0" w:name="_Hlk26886363"/>
      <w:r w:rsidRPr="00A35914">
        <w:rPr>
          <w:rFonts w:cstheme="minorHAnsi"/>
          <w:sz w:val="28"/>
          <w:szCs w:val="28"/>
        </w:rPr>
        <w:t>ntrodu</w:t>
      </w:r>
      <w:bookmarkStart w:id="1" w:name="_Hlk26886350"/>
      <w:r w:rsidRPr="00A35914">
        <w:rPr>
          <w:rFonts w:cstheme="minorHAnsi"/>
          <w:sz w:val="28"/>
          <w:szCs w:val="28"/>
        </w:rPr>
        <w:t>ctio</w:t>
      </w:r>
      <w:bookmarkEnd w:id="1"/>
      <w:r w:rsidRPr="00A35914">
        <w:rPr>
          <w:rFonts w:cstheme="minorHAnsi"/>
          <w:sz w:val="28"/>
          <w:szCs w:val="28"/>
        </w:rPr>
        <w:t>n</w:t>
      </w:r>
      <w:bookmarkEnd w:id="0"/>
    </w:p>
    <w:p w14:paraId="6D15AE37" w14:textId="32805CBF" w:rsidR="009804CA" w:rsidRPr="00A35914" w:rsidRDefault="009804CA" w:rsidP="00A35914">
      <w:pPr>
        <w:pStyle w:val="NoSpacing"/>
        <w:spacing w:after="120" w:line="252" w:lineRule="auto"/>
        <w:ind w:left="-284" w:right="-329"/>
        <w:rPr>
          <w:rFonts w:cstheme="minorHAnsi"/>
          <w:sz w:val="21"/>
          <w:szCs w:val="21"/>
        </w:rPr>
      </w:pPr>
      <w:r w:rsidRPr="00A35914">
        <w:rPr>
          <w:rFonts w:cstheme="minorHAnsi"/>
          <w:sz w:val="21"/>
          <w:szCs w:val="21"/>
        </w:rPr>
        <w:t xml:space="preserve">Women’s Health Victoria (WHV) welcomes the opportunity to provide input into the </w:t>
      </w:r>
      <w:r w:rsidR="008204A5">
        <w:rPr>
          <w:rFonts w:cstheme="minorHAnsi"/>
          <w:sz w:val="21"/>
          <w:szCs w:val="21"/>
        </w:rPr>
        <w:t>proposed n</w:t>
      </w:r>
      <w:r w:rsidRPr="00A35914">
        <w:rPr>
          <w:rFonts w:cstheme="minorHAnsi"/>
          <w:sz w:val="21"/>
          <w:szCs w:val="21"/>
        </w:rPr>
        <w:t xml:space="preserve">ational </w:t>
      </w:r>
      <w:r w:rsidR="008204A5">
        <w:rPr>
          <w:rFonts w:cstheme="minorHAnsi"/>
          <w:sz w:val="21"/>
          <w:szCs w:val="21"/>
        </w:rPr>
        <w:t>o</w:t>
      </w:r>
      <w:r w:rsidRPr="00A35914">
        <w:rPr>
          <w:rFonts w:cstheme="minorHAnsi"/>
          <w:sz w:val="21"/>
          <w:szCs w:val="21"/>
        </w:rPr>
        <w:t xml:space="preserve">besity </w:t>
      </w:r>
      <w:r w:rsidR="008204A5">
        <w:rPr>
          <w:rFonts w:cstheme="minorHAnsi"/>
          <w:sz w:val="21"/>
          <w:szCs w:val="21"/>
        </w:rPr>
        <w:t>s</w:t>
      </w:r>
      <w:r w:rsidRPr="00A35914">
        <w:rPr>
          <w:rFonts w:cstheme="minorHAnsi"/>
          <w:sz w:val="21"/>
          <w:szCs w:val="21"/>
        </w:rPr>
        <w:t xml:space="preserve">trategy. WHV is committed to improving women’s health, including through advocacy and awareness raising, primary prevention, capacity building and direct service delivery. As a Victorian statewide women’s health promotion service, we collaborate with health professionals, researchers, policy makers, service providers and community organisations to influence and inform health policy and service delivery for women. </w:t>
      </w:r>
    </w:p>
    <w:p w14:paraId="73C954DC" w14:textId="5D6C6C91" w:rsidR="00D76FEF" w:rsidRPr="00A35914" w:rsidRDefault="009804CA" w:rsidP="00A35914">
      <w:pPr>
        <w:spacing w:after="120" w:line="252" w:lineRule="auto"/>
        <w:ind w:left="-284" w:right="-329"/>
        <w:rPr>
          <w:rFonts w:cstheme="minorHAnsi"/>
          <w:sz w:val="21"/>
          <w:szCs w:val="21"/>
        </w:rPr>
      </w:pPr>
      <w:r w:rsidRPr="00A35914">
        <w:rPr>
          <w:rFonts w:cstheme="minorHAnsi"/>
          <w:sz w:val="21"/>
          <w:szCs w:val="21"/>
        </w:rPr>
        <w:t>WHV is committed to the social model of health which focuses on addressing the social and economic determinants of health, such as freedom from discrimination and harassment, and equitable access to economic power and resources. A social determinants approach to health aims to improve health in the population and reduce inequities by focusing on improving the conditions in which people are born, grow, live, work and age.</w:t>
      </w:r>
      <w:r w:rsidR="00D76FEF" w:rsidRPr="00A35914">
        <w:rPr>
          <w:rStyle w:val="EndnoteReference"/>
          <w:rFonts w:cstheme="minorHAnsi"/>
          <w:sz w:val="21"/>
          <w:szCs w:val="21"/>
        </w:rPr>
        <w:endnoteReference w:id="1"/>
      </w:r>
    </w:p>
    <w:p w14:paraId="238DDB15" w14:textId="794ADD86" w:rsidR="008A3B5A" w:rsidRPr="00A35914" w:rsidRDefault="008A3B5A" w:rsidP="00A35914">
      <w:pPr>
        <w:spacing w:line="252" w:lineRule="auto"/>
        <w:ind w:left="-284" w:right="-330"/>
        <w:rPr>
          <w:rFonts w:eastAsia="calibri (body)" w:cstheme="minorHAnsi"/>
          <w:sz w:val="21"/>
          <w:szCs w:val="21"/>
        </w:rPr>
      </w:pPr>
      <w:r w:rsidRPr="00A35914">
        <w:rPr>
          <w:rFonts w:eastAsia="calibri (body)" w:cstheme="minorHAnsi"/>
          <w:sz w:val="21"/>
          <w:szCs w:val="21"/>
        </w:rPr>
        <w:t>WHV welcomes the strategy as a positive step towards improving the health and wellbeing of all Australians. We would be happy to provide further clarification on any of the matters raised in this submission should this be required.</w:t>
      </w:r>
    </w:p>
    <w:p w14:paraId="3A14F146" w14:textId="77777777" w:rsidR="00D76FEF" w:rsidRPr="00A35914" w:rsidRDefault="00D76FEF" w:rsidP="00A35914">
      <w:pPr>
        <w:pStyle w:val="Heading3"/>
        <w:spacing w:after="80" w:line="276" w:lineRule="auto"/>
        <w:ind w:left="-284" w:right="-329"/>
        <w:rPr>
          <w:rFonts w:cstheme="minorHAnsi"/>
          <w:sz w:val="28"/>
          <w:szCs w:val="28"/>
        </w:rPr>
      </w:pPr>
      <w:r w:rsidRPr="00A35914">
        <w:rPr>
          <w:rFonts w:cstheme="minorHAnsi"/>
          <w:sz w:val="28"/>
          <w:szCs w:val="28"/>
        </w:rPr>
        <w:t>Overview</w:t>
      </w:r>
    </w:p>
    <w:p w14:paraId="44FA495B" w14:textId="65A77471" w:rsidR="00D76FEF" w:rsidRPr="00A35914" w:rsidRDefault="00D76FEF" w:rsidP="00A35914">
      <w:pPr>
        <w:pStyle w:val="NoSpacing"/>
        <w:spacing w:after="120" w:line="252" w:lineRule="auto"/>
        <w:ind w:left="-284" w:right="-329"/>
        <w:rPr>
          <w:rFonts w:cstheme="minorHAnsi"/>
          <w:sz w:val="21"/>
          <w:szCs w:val="21"/>
        </w:rPr>
      </w:pPr>
      <w:r w:rsidRPr="00A35914">
        <w:rPr>
          <w:rFonts w:cstheme="minorHAnsi"/>
          <w:sz w:val="21"/>
          <w:szCs w:val="21"/>
        </w:rPr>
        <w:t>W</w:t>
      </w:r>
      <w:r w:rsidR="008166E5" w:rsidRPr="00A35914">
        <w:rPr>
          <w:rFonts w:cstheme="minorHAnsi"/>
          <w:sz w:val="21"/>
          <w:szCs w:val="21"/>
        </w:rPr>
        <w:t>HV</w:t>
      </w:r>
      <w:r w:rsidRPr="00A35914">
        <w:rPr>
          <w:rFonts w:cstheme="minorHAnsi"/>
          <w:sz w:val="21"/>
          <w:szCs w:val="21"/>
        </w:rPr>
        <w:t xml:space="preserve"> supports the </w:t>
      </w:r>
      <w:r w:rsidR="008204A5">
        <w:rPr>
          <w:rFonts w:cstheme="minorHAnsi"/>
          <w:sz w:val="21"/>
          <w:szCs w:val="21"/>
        </w:rPr>
        <w:t>proposed</w:t>
      </w:r>
      <w:r w:rsidR="00CB16A8" w:rsidRPr="00A35914">
        <w:rPr>
          <w:rFonts w:cstheme="minorHAnsi"/>
          <w:sz w:val="21"/>
          <w:szCs w:val="21"/>
        </w:rPr>
        <w:t xml:space="preserve"> </w:t>
      </w:r>
      <w:r w:rsidRPr="00A35914">
        <w:rPr>
          <w:rFonts w:cstheme="minorHAnsi"/>
          <w:sz w:val="21"/>
          <w:szCs w:val="21"/>
        </w:rPr>
        <w:t>strategy’s aim to support all Australians to have a healthy lifestyle</w:t>
      </w:r>
      <w:r w:rsidR="00CB16A8" w:rsidRPr="00A35914">
        <w:rPr>
          <w:rFonts w:cstheme="minorHAnsi"/>
          <w:sz w:val="21"/>
          <w:szCs w:val="21"/>
        </w:rPr>
        <w:t>.</w:t>
      </w:r>
      <w:r w:rsidRPr="00A35914">
        <w:rPr>
          <w:rFonts w:cstheme="minorHAnsi"/>
          <w:sz w:val="21"/>
          <w:szCs w:val="21"/>
        </w:rPr>
        <w:t xml:space="preserve"> </w:t>
      </w:r>
      <w:r w:rsidR="00CB16A8" w:rsidRPr="00A35914">
        <w:rPr>
          <w:rFonts w:cstheme="minorHAnsi"/>
          <w:sz w:val="21"/>
          <w:szCs w:val="21"/>
        </w:rPr>
        <w:t>W</w:t>
      </w:r>
      <w:r w:rsidRPr="00A35914">
        <w:rPr>
          <w:rFonts w:cstheme="minorHAnsi"/>
          <w:sz w:val="21"/>
          <w:szCs w:val="21"/>
        </w:rPr>
        <w:t xml:space="preserve">e recommend that this is framed </w:t>
      </w:r>
      <w:r w:rsidR="00CB16A8" w:rsidRPr="00A35914">
        <w:rPr>
          <w:rFonts w:cstheme="minorHAnsi"/>
          <w:sz w:val="21"/>
          <w:szCs w:val="21"/>
        </w:rPr>
        <w:t>using</w:t>
      </w:r>
      <w:r w:rsidRPr="00A35914">
        <w:rPr>
          <w:rFonts w:cstheme="minorHAnsi"/>
          <w:sz w:val="21"/>
          <w:szCs w:val="21"/>
        </w:rPr>
        <w:t xml:space="preserve"> a weight-inclusive framework that emphasises health and healthy behaviours as opposed to weight. This aligns with the evidence and the consultation paper which states</w:t>
      </w:r>
      <w:r w:rsidR="00CB16A8" w:rsidRPr="00A35914">
        <w:rPr>
          <w:rFonts w:cstheme="minorHAnsi"/>
          <w:sz w:val="21"/>
          <w:szCs w:val="21"/>
        </w:rPr>
        <w:t xml:space="preserve"> that</w:t>
      </w:r>
      <w:r w:rsidRPr="00A35914">
        <w:rPr>
          <w:rFonts w:cstheme="minorHAnsi"/>
          <w:sz w:val="21"/>
          <w:szCs w:val="21"/>
        </w:rPr>
        <w:t xml:space="preserve"> ‘the strategy will support all Australians to have a healthy lifestyle, regardless of weight.’ Focusing on body size rather than healthy behaviours increases weight stigma, which leads to poor health outcomes. Additionally, WHV advocates for a gendered approach to </w:t>
      </w:r>
      <w:r w:rsidR="00CB16A8" w:rsidRPr="00A35914">
        <w:rPr>
          <w:rFonts w:cstheme="minorHAnsi"/>
          <w:sz w:val="21"/>
          <w:szCs w:val="21"/>
        </w:rPr>
        <w:t xml:space="preserve">the </w:t>
      </w:r>
      <w:r w:rsidRPr="00A35914">
        <w:rPr>
          <w:rFonts w:cstheme="minorHAnsi"/>
          <w:sz w:val="21"/>
          <w:szCs w:val="21"/>
        </w:rPr>
        <w:t xml:space="preserve">priority areas </w:t>
      </w:r>
      <w:r w:rsidR="00CB16A8" w:rsidRPr="00A35914">
        <w:rPr>
          <w:rFonts w:cstheme="minorHAnsi"/>
          <w:sz w:val="21"/>
          <w:szCs w:val="21"/>
        </w:rPr>
        <w:t xml:space="preserve">identified in the </w:t>
      </w:r>
      <w:r w:rsidR="008204A5">
        <w:rPr>
          <w:rFonts w:cstheme="minorHAnsi"/>
          <w:sz w:val="21"/>
          <w:szCs w:val="21"/>
        </w:rPr>
        <w:t>proposed</w:t>
      </w:r>
      <w:r w:rsidR="00CB16A8" w:rsidRPr="00A35914">
        <w:rPr>
          <w:rFonts w:cstheme="minorHAnsi"/>
          <w:sz w:val="21"/>
          <w:szCs w:val="21"/>
        </w:rPr>
        <w:t xml:space="preserve"> strategy, </w:t>
      </w:r>
      <w:r w:rsidRPr="00A35914">
        <w:rPr>
          <w:rFonts w:cstheme="minorHAnsi"/>
          <w:sz w:val="21"/>
          <w:szCs w:val="21"/>
        </w:rPr>
        <w:t xml:space="preserve">acknowledging the disproportionate impact of body image concerns, eating disorders and weight stigma on women and girls.   </w:t>
      </w:r>
    </w:p>
    <w:p w14:paraId="50DD03C5" w14:textId="0FCFD973" w:rsidR="00D76FEF" w:rsidRPr="00A35914" w:rsidRDefault="00D76FEF" w:rsidP="00A35914">
      <w:pPr>
        <w:pStyle w:val="NoSpacing"/>
        <w:spacing w:after="120" w:line="252" w:lineRule="auto"/>
        <w:ind w:left="-284" w:right="-329"/>
        <w:rPr>
          <w:rFonts w:cstheme="minorHAnsi"/>
          <w:sz w:val="21"/>
          <w:szCs w:val="21"/>
        </w:rPr>
      </w:pPr>
      <w:r w:rsidRPr="00A35914">
        <w:rPr>
          <w:rFonts w:cstheme="minorHAnsi"/>
          <w:sz w:val="21"/>
          <w:szCs w:val="21"/>
        </w:rPr>
        <w:t>W</w:t>
      </w:r>
      <w:r w:rsidR="008166E5" w:rsidRPr="00A35914">
        <w:rPr>
          <w:rFonts w:cstheme="minorHAnsi"/>
          <w:sz w:val="21"/>
          <w:szCs w:val="21"/>
        </w:rPr>
        <w:t>HV</w:t>
      </w:r>
      <w:r w:rsidRPr="00A35914">
        <w:rPr>
          <w:rFonts w:cstheme="minorHAnsi"/>
          <w:sz w:val="21"/>
          <w:szCs w:val="21"/>
        </w:rPr>
        <w:t xml:space="preserve"> applauds the </w:t>
      </w:r>
      <w:r w:rsidR="008204A5">
        <w:rPr>
          <w:rFonts w:cstheme="minorHAnsi"/>
          <w:sz w:val="21"/>
          <w:szCs w:val="21"/>
        </w:rPr>
        <w:t>proposed</w:t>
      </w:r>
      <w:r w:rsidR="00CB16A8" w:rsidRPr="00A35914">
        <w:rPr>
          <w:rFonts w:cstheme="minorHAnsi"/>
          <w:sz w:val="21"/>
          <w:szCs w:val="21"/>
        </w:rPr>
        <w:t xml:space="preserve"> </w:t>
      </w:r>
      <w:r w:rsidRPr="00A35914">
        <w:rPr>
          <w:rFonts w:cstheme="minorHAnsi"/>
          <w:sz w:val="21"/>
          <w:szCs w:val="21"/>
        </w:rPr>
        <w:t>strategy’s aim to build a healthier and more resilient food system, and to facilitate the Australia population’s participation in healthy behaviours regardless of weight. We also applaud the strategy’s aim to develop tailored initiatives with Aboriginal and Torres Strait Islander peoples, culturally and linguistically diverse communities and people with disabilities.</w:t>
      </w:r>
    </w:p>
    <w:p w14:paraId="49E682FE" w14:textId="2B8955E2" w:rsidR="00D76FEF" w:rsidRPr="00A35914" w:rsidRDefault="00D76FEF" w:rsidP="00A35914">
      <w:pPr>
        <w:pStyle w:val="Heading3"/>
        <w:spacing w:after="80" w:line="276" w:lineRule="auto"/>
        <w:ind w:left="-284" w:right="-329"/>
        <w:rPr>
          <w:rFonts w:cstheme="minorHAnsi"/>
          <w:sz w:val="28"/>
          <w:szCs w:val="28"/>
        </w:rPr>
      </w:pPr>
      <w:r w:rsidRPr="00A35914">
        <w:rPr>
          <w:rFonts w:cstheme="minorHAnsi"/>
          <w:sz w:val="28"/>
          <w:szCs w:val="28"/>
        </w:rPr>
        <w:t xml:space="preserve">Key </w:t>
      </w:r>
      <w:r w:rsidR="008A3B5A">
        <w:rPr>
          <w:rFonts w:cstheme="minorHAnsi"/>
          <w:sz w:val="28"/>
          <w:szCs w:val="28"/>
        </w:rPr>
        <w:t>principles</w:t>
      </w:r>
    </w:p>
    <w:p w14:paraId="2B3C2FBA" w14:textId="77777777" w:rsidR="00D76FEF" w:rsidRPr="008166E5" w:rsidRDefault="00D76FEF" w:rsidP="00A35914">
      <w:pPr>
        <w:pStyle w:val="Heading3"/>
        <w:numPr>
          <w:ilvl w:val="0"/>
          <w:numId w:val="8"/>
        </w:numPr>
        <w:spacing w:before="0" w:after="120" w:line="252" w:lineRule="auto"/>
        <w:ind w:left="-284" w:right="-329" w:firstLine="0"/>
        <w:rPr>
          <w:rFonts w:cstheme="minorHAnsi"/>
          <w:color w:val="002060"/>
        </w:rPr>
      </w:pPr>
      <w:r w:rsidRPr="008166E5">
        <w:rPr>
          <w:rFonts w:cstheme="minorHAnsi"/>
          <w:color w:val="002060"/>
        </w:rPr>
        <w:t xml:space="preserve"> Focus on health, not weight</w:t>
      </w:r>
    </w:p>
    <w:p w14:paraId="27C7F610" w14:textId="7C790810" w:rsidR="002A0139" w:rsidRPr="00A35914" w:rsidRDefault="00260922" w:rsidP="00A35914">
      <w:pPr>
        <w:spacing w:after="120" w:line="252" w:lineRule="auto"/>
        <w:ind w:left="-284" w:right="-329"/>
        <w:rPr>
          <w:rFonts w:cstheme="minorHAnsi"/>
          <w:sz w:val="21"/>
          <w:szCs w:val="21"/>
        </w:rPr>
      </w:pPr>
      <w:r w:rsidRPr="00A35914">
        <w:rPr>
          <w:rFonts w:cstheme="minorHAnsi"/>
          <w:sz w:val="21"/>
          <w:szCs w:val="21"/>
        </w:rPr>
        <w:t>A person’s weight</w:t>
      </w:r>
      <w:r w:rsidR="00D76FEF" w:rsidRPr="00A35914">
        <w:rPr>
          <w:rFonts w:cstheme="minorHAnsi"/>
          <w:sz w:val="21"/>
          <w:szCs w:val="21"/>
        </w:rPr>
        <w:t xml:space="preserve"> </w:t>
      </w:r>
      <w:r w:rsidRPr="00A35914">
        <w:rPr>
          <w:rFonts w:cstheme="minorHAnsi"/>
          <w:sz w:val="21"/>
          <w:szCs w:val="21"/>
        </w:rPr>
        <w:t>is often</w:t>
      </w:r>
      <w:r w:rsidR="00D76FEF" w:rsidRPr="00A35914">
        <w:rPr>
          <w:rFonts w:cstheme="minorHAnsi"/>
          <w:sz w:val="21"/>
          <w:szCs w:val="21"/>
        </w:rPr>
        <w:t xml:space="preserve"> used </w:t>
      </w:r>
      <w:r w:rsidR="000F1D32" w:rsidRPr="00A35914">
        <w:rPr>
          <w:rFonts w:cstheme="minorHAnsi"/>
          <w:sz w:val="21"/>
          <w:szCs w:val="21"/>
        </w:rPr>
        <w:t xml:space="preserve">as a proxy for </w:t>
      </w:r>
      <w:r w:rsidRPr="00A35914">
        <w:rPr>
          <w:rFonts w:cstheme="minorHAnsi"/>
          <w:sz w:val="21"/>
          <w:szCs w:val="21"/>
        </w:rPr>
        <w:t>their</w:t>
      </w:r>
      <w:r w:rsidR="00D76FEF" w:rsidRPr="00A35914">
        <w:rPr>
          <w:rFonts w:cstheme="minorHAnsi"/>
          <w:sz w:val="21"/>
          <w:szCs w:val="21"/>
        </w:rPr>
        <w:t xml:space="preserve"> health </w:t>
      </w:r>
      <w:r w:rsidR="000F1D32" w:rsidRPr="00A35914">
        <w:rPr>
          <w:rFonts w:cstheme="minorHAnsi"/>
          <w:sz w:val="21"/>
          <w:szCs w:val="21"/>
        </w:rPr>
        <w:t>status</w:t>
      </w:r>
      <w:r w:rsidR="00D76FEF" w:rsidRPr="00A35914">
        <w:rPr>
          <w:rFonts w:cstheme="minorHAnsi"/>
          <w:sz w:val="21"/>
          <w:szCs w:val="21"/>
        </w:rPr>
        <w:t xml:space="preserve">. However, evidence </w:t>
      </w:r>
      <w:r w:rsidR="00223E0E" w:rsidRPr="00A35914">
        <w:rPr>
          <w:rFonts w:cstheme="minorHAnsi"/>
          <w:sz w:val="21"/>
          <w:szCs w:val="21"/>
        </w:rPr>
        <w:t>shows</w:t>
      </w:r>
      <w:r w:rsidR="00D76FEF" w:rsidRPr="00A35914">
        <w:rPr>
          <w:rFonts w:cstheme="minorHAnsi"/>
          <w:sz w:val="21"/>
          <w:szCs w:val="21"/>
        </w:rPr>
        <w:t xml:space="preserve"> that weight alone does not</w:t>
      </w:r>
      <w:r w:rsidR="00223E0E" w:rsidRPr="00A35914">
        <w:rPr>
          <w:rFonts w:cstheme="minorHAnsi"/>
          <w:sz w:val="21"/>
          <w:szCs w:val="21"/>
        </w:rPr>
        <w:t xml:space="preserve"> </w:t>
      </w:r>
      <w:r w:rsidR="00D76FEF" w:rsidRPr="00A35914">
        <w:rPr>
          <w:rFonts w:cstheme="minorHAnsi"/>
          <w:sz w:val="21"/>
          <w:szCs w:val="21"/>
        </w:rPr>
        <w:t xml:space="preserve">determine health </w:t>
      </w:r>
      <w:r w:rsidR="00223E0E" w:rsidRPr="00A35914">
        <w:rPr>
          <w:rFonts w:cstheme="minorHAnsi"/>
          <w:sz w:val="21"/>
          <w:szCs w:val="21"/>
        </w:rPr>
        <w:t xml:space="preserve">status </w:t>
      </w:r>
      <w:r w:rsidR="00D76FEF" w:rsidRPr="00A35914">
        <w:rPr>
          <w:rFonts w:cstheme="minorHAnsi"/>
          <w:sz w:val="21"/>
          <w:szCs w:val="21"/>
        </w:rPr>
        <w:t xml:space="preserve">and this focus can increase harm </w:t>
      </w:r>
      <w:r w:rsidRPr="00A35914">
        <w:rPr>
          <w:rFonts w:cstheme="minorHAnsi"/>
          <w:sz w:val="21"/>
          <w:szCs w:val="21"/>
        </w:rPr>
        <w:t>by</w:t>
      </w:r>
      <w:r w:rsidR="00D76FEF" w:rsidRPr="00A35914">
        <w:rPr>
          <w:rFonts w:cstheme="minorHAnsi"/>
          <w:sz w:val="21"/>
          <w:szCs w:val="21"/>
        </w:rPr>
        <w:t xml:space="preserve"> increasing stigma and shame.  Focusing on weight, shape and size is a narrow and counterproductive way of understanding our health and wellbeing; one which prioritises concerns for physical health over mental health and social well-being.</w:t>
      </w:r>
      <w:r w:rsidR="00223E0E" w:rsidRPr="00A35914">
        <w:rPr>
          <w:rFonts w:eastAsia="Calibri" w:cstheme="minorHAnsi"/>
          <w:sz w:val="21"/>
          <w:szCs w:val="21"/>
        </w:rPr>
        <w:t xml:space="preserve"> Public health campaigns that focus on ideal body weight and shape are associated with increased stigma and body dissatisfaction in individuals of all weights.</w:t>
      </w:r>
      <w:r w:rsidR="00223E0E" w:rsidRPr="00A35914">
        <w:rPr>
          <w:rStyle w:val="EndnoteReference"/>
          <w:rFonts w:eastAsia="Calibri" w:cstheme="minorHAnsi"/>
          <w:sz w:val="21"/>
          <w:szCs w:val="21"/>
        </w:rPr>
        <w:endnoteReference w:id="2"/>
      </w:r>
      <w:r w:rsidR="00223E0E" w:rsidRPr="00A35914">
        <w:rPr>
          <w:rFonts w:eastAsia="Calibri" w:cstheme="minorHAnsi"/>
          <w:sz w:val="21"/>
          <w:szCs w:val="21"/>
        </w:rPr>
        <w:t xml:space="preserve">  </w:t>
      </w:r>
      <w:r w:rsidRPr="00A35914">
        <w:rPr>
          <w:rFonts w:eastAsia="Calibri" w:cstheme="minorHAnsi"/>
          <w:sz w:val="21"/>
          <w:szCs w:val="21"/>
        </w:rPr>
        <w:t>On the other hand,</w:t>
      </w:r>
      <w:r w:rsidR="00D76FEF" w:rsidRPr="00A35914">
        <w:rPr>
          <w:rFonts w:cstheme="minorHAnsi"/>
          <w:sz w:val="21"/>
          <w:szCs w:val="21"/>
        </w:rPr>
        <w:t xml:space="preserve"> a weight-inclusive approach focuses on supporting the health of people across the weight spectrum</w:t>
      </w:r>
      <w:r w:rsidRPr="00A35914">
        <w:rPr>
          <w:rFonts w:cstheme="minorHAnsi"/>
          <w:sz w:val="21"/>
          <w:szCs w:val="21"/>
        </w:rPr>
        <w:t>, has a holistic focus incorporating both physical and mental health,</w:t>
      </w:r>
      <w:r w:rsidR="00D76FEF" w:rsidRPr="00A35914">
        <w:rPr>
          <w:rFonts w:cstheme="minorHAnsi"/>
          <w:sz w:val="21"/>
          <w:szCs w:val="21"/>
        </w:rPr>
        <w:t xml:space="preserve"> and challenges weight</w:t>
      </w:r>
      <w:r w:rsidR="008A3B5A" w:rsidRPr="00A35914">
        <w:rPr>
          <w:rFonts w:cstheme="minorHAnsi"/>
          <w:sz w:val="21"/>
          <w:szCs w:val="21"/>
        </w:rPr>
        <w:t xml:space="preserve"> </w:t>
      </w:r>
      <w:r w:rsidR="00D76FEF" w:rsidRPr="00A35914">
        <w:rPr>
          <w:rFonts w:cstheme="minorHAnsi"/>
          <w:sz w:val="21"/>
          <w:szCs w:val="21"/>
        </w:rPr>
        <w:t xml:space="preserve">stigma, especially in health care settings, </w:t>
      </w:r>
      <w:r w:rsidR="00D76FEF" w:rsidRPr="004E6386">
        <w:rPr>
          <w:rFonts w:cstheme="minorHAnsi"/>
          <w:sz w:val="21"/>
          <w:szCs w:val="21"/>
        </w:rPr>
        <w:t>contribut</w:t>
      </w:r>
      <w:r w:rsidRPr="004E6386">
        <w:rPr>
          <w:rFonts w:cstheme="minorHAnsi"/>
          <w:sz w:val="21"/>
          <w:szCs w:val="21"/>
        </w:rPr>
        <w:t>ing</w:t>
      </w:r>
      <w:r w:rsidR="00D76FEF" w:rsidRPr="004E6386">
        <w:rPr>
          <w:rFonts w:cstheme="minorHAnsi"/>
          <w:sz w:val="21"/>
          <w:szCs w:val="21"/>
        </w:rPr>
        <w:t xml:space="preserve"> to better health outcomes overall</w:t>
      </w:r>
      <w:r w:rsidR="00D76FEF" w:rsidRPr="00A35914">
        <w:rPr>
          <w:rFonts w:cstheme="minorHAnsi"/>
          <w:sz w:val="21"/>
          <w:szCs w:val="21"/>
        </w:rPr>
        <w:t>.</w:t>
      </w:r>
      <w:r w:rsidR="004E6386" w:rsidRPr="004E6386">
        <w:rPr>
          <w:rStyle w:val="EndnoteReference"/>
          <w:rFonts w:cstheme="minorHAnsi"/>
          <w:sz w:val="21"/>
          <w:szCs w:val="21"/>
        </w:rPr>
        <w:t xml:space="preserve"> </w:t>
      </w:r>
      <w:r w:rsidR="004E6386" w:rsidRPr="00A35914">
        <w:rPr>
          <w:rStyle w:val="EndnoteReference"/>
          <w:rFonts w:cstheme="minorHAnsi"/>
          <w:sz w:val="21"/>
          <w:szCs w:val="21"/>
        </w:rPr>
        <w:endnoteReference w:id="3"/>
      </w:r>
      <w:r w:rsidR="00D76FEF" w:rsidRPr="00A35914">
        <w:rPr>
          <w:rFonts w:cstheme="minorHAnsi"/>
          <w:sz w:val="21"/>
          <w:szCs w:val="21"/>
        </w:rPr>
        <w:t xml:space="preserve"> </w:t>
      </w:r>
    </w:p>
    <w:p w14:paraId="2357D132" w14:textId="515E4E4D" w:rsidR="00D76FEF" w:rsidRPr="00A35914" w:rsidRDefault="00D76FEF" w:rsidP="00A35914">
      <w:pPr>
        <w:spacing w:after="120" w:line="252" w:lineRule="auto"/>
        <w:ind w:left="-284" w:right="-330"/>
        <w:rPr>
          <w:rFonts w:eastAsia="Calibri" w:cstheme="minorHAnsi"/>
          <w:sz w:val="21"/>
          <w:szCs w:val="21"/>
        </w:rPr>
      </w:pPr>
      <w:r w:rsidRPr="00A35914">
        <w:rPr>
          <w:rFonts w:eastAsia="Calibri" w:cstheme="minorHAnsi"/>
          <w:sz w:val="21"/>
          <w:szCs w:val="21"/>
        </w:rPr>
        <w:t xml:space="preserve">By focusing on the weight, shape and size of bodies through obesity prevention campaigns, our understandings of why </w:t>
      </w:r>
      <w:r w:rsidR="00260922" w:rsidRPr="00A35914">
        <w:rPr>
          <w:rFonts w:eastAsia="Calibri" w:cstheme="minorHAnsi"/>
          <w:sz w:val="21"/>
          <w:szCs w:val="21"/>
        </w:rPr>
        <w:t>many individuals</w:t>
      </w:r>
      <w:r w:rsidRPr="00A35914">
        <w:rPr>
          <w:rFonts w:eastAsia="Calibri" w:cstheme="minorHAnsi"/>
          <w:sz w:val="21"/>
          <w:szCs w:val="21"/>
        </w:rPr>
        <w:t xml:space="preserve"> do not consume the recommended daily servings of fruit and vegetables, and do not regularly engage in physical activity, remain unexamined.</w:t>
      </w:r>
    </w:p>
    <w:p w14:paraId="7998F65A" w14:textId="4716B72E" w:rsidR="00D76FEF" w:rsidRPr="00A35914" w:rsidRDefault="00D76FEF" w:rsidP="00A35914">
      <w:pPr>
        <w:spacing w:after="120" w:line="252" w:lineRule="auto"/>
        <w:ind w:left="-284" w:right="-330"/>
        <w:rPr>
          <w:rFonts w:eastAsia="Calibri" w:cstheme="minorHAnsi"/>
          <w:sz w:val="21"/>
          <w:szCs w:val="21"/>
        </w:rPr>
      </w:pPr>
      <w:r w:rsidRPr="00A35914">
        <w:rPr>
          <w:rFonts w:eastAsia="Calibri" w:cstheme="minorHAnsi"/>
          <w:sz w:val="21"/>
          <w:szCs w:val="21"/>
        </w:rPr>
        <w:lastRenderedPageBreak/>
        <w:t>WHV recommends that a focus on weight is removed f</w:t>
      </w:r>
      <w:r w:rsidR="00223E0E" w:rsidRPr="00A35914">
        <w:rPr>
          <w:rFonts w:eastAsia="Calibri" w:cstheme="minorHAnsi"/>
          <w:sz w:val="21"/>
          <w:szCs w:val="21"/>
        </w:rPr>
        <w:t>ro</w:t>
      </w:r>
      <w:r w:rsidRPr="00A35914">
        <w:rPr>
          <w:rFonts w:eastAsia="Calibri" w:cstheme="minorHAnsi"/>
          <w:sz w:val="21"/>
          <w:szCs w:val="21"/>
        </w:rPr>
        <w:t>m the strategy to ensure it does not unintentionally contribute to body dissatisfaction, eating disorders and re</w:t>
      </w:r>
      <w:r w:rsidR="00260922" w:rsidRPr="00A35914">
        <w:rPr>
          <w:rFonts w:eastAsia="Calibri" w:cstheme="minorHAnsi"/>
          <w:sz w:val="21"/>
          <w:szCs w:val="21"/>
        </w:rPr>
        <w:t>i</w:t>
      </w:r>
      <w:r w:rsidRPr="00A35914">
        <w:rPr>
          <w:rFonts w:eastAsia="Calibri" w:cstheme="minorHAnsi"/>
          <w:sz w:val="21"/>
          <w:szCs w:val="21"/>
        </w:rPr>
        <w:t xml:space="preserve">nforce weight stigma.  </w:t>
      </w:r>
    </w:p>
    <w:p w14:paraId="6C77DBA4" w14:textId="77777777" w:rsidR="00D76FEF" w:rsidRPr="008166E5" w:rsidRDefault="00D76FEF" w:rsidP="00A35914">
      <w:pPr>
        <w:spacing w:after="120" w:line="252" w:lineRule="auto"/>
        <w:ind w:left="-284" w:right="-330"/>
        <w:rPr>
          <w:rFonts w:cstheme="minorHAnsi"/>
          <w:b/>
          <w:u w:val="single"/>
        </w:rPr>
      </w:pPr>
      <w:r w:rsidRPr="008166E5">
        <w:rPr>
          <w:rFonts w:cstheme="minorHAnsi"/>
          <w:b/>
          <w:u w:val="single"/>
        </w:rPr>
        <w:t>Body dissatisfaction</w:t>
      </w:r>
    </w:p>
    <w:p w14:paraId="66D86D68" w14:textId="4971AEAB" w:rsidR="00223E0E" w:rsidRPr="00A35914" w:rsidRDefault="00223E0E" w:rsidP="00A35914">
      <w:pPr>
        <w:spacing w:after="120" w:line="252" w:lineRule="auto"/>
        <w:ind w:left="-284" w:right="-330"/>
        <w:rPr>
          <w:rFonts w:cstheme="minorHAnsi"/>
          <w:sz w:val="21"/>
          <w:szCs w:val="21"/>
        </w:rPr>
      </w:pPr>
      <w:r w:rsidRPr="00A35914">
        <w:rPr>
          <w:rFonts w:eastAsia="Calibri" w:cstheme="minorHAnsi"/>
          <w:sz w:val="21"/>
          <w:szCs w:val="21"/>
        </w:rPr>
        <w:t>Dissatisfaction with the appearance of the body can lead to an uncomfortable relationship with food and one's body, as the focus of behaviour is always on preventing weight gain.</w:t>
      </w:r>
      <w:r w:rsidRPr="00A35914">
        <w:rPr>
          <w:rStyle w:val="EndnoteReference"/>
          <w:rFonts w:eastAsia="Calibri" w:cstheme="minorHAnsi"/>
          <w:sz w:val="21"/>
          <w:szCs w:val="21"/>
        </w:rPr>
        <w:endnoteReference w:id="4"/>
      </w:r>
      <w:r w:rsidRPr="00A35914">
        <w:rPr>
          <w:rFonts w:eastAsia="Calibri" w:cstheme="minorHAnsi"/>
          <w:sz w:val="21"/>
          <w:szCs w:val="21"/>
        </w:rPr>
        <w:t xml:space="preserve"> </w:t>
      </w:r>
      <w:r w:rsidRPr="00A35914">
        <w:rPr>
          <w:rFonts w:cstheme="minorHAnsi"/>
          <w:sz w:val="21"/>
          <w:szCs w:val="21"/>
        </w:rPr>
        <w:t>Statistics show that body dissatisfaction and eating disorders are common in young people.</w:t>
      </w:r>
      <w:r w:rsidRPr="00A35914">
        <w:rPr>
          <w:rStyle w:val="EndnoteReference"/>
          <w:rFonts w:cstheme="minorHAnsi"/>
          <w:sz w:val="21"/>
          <w:szCs w:val="21"/>
        </w:rPr>
        <w:endnoteReference w:id="5"/>
      </w:r>
    </w:p>
    <w:p w14:paraId="3AF46725" w14:textId="6BB2D4F6" w:rsidR="002C62D1" w:rsidRPr="00A35914" w:rsidRDefault="002C62D1" w:rsidP="00A35914">
      <w:pPr>
        <w:pStyle w:val="ListParagraph"/>
        <w:numPr>
          <w:ilvl w:val="0"/>
          <w:numId w:val="9"/>
        </w:numPr>
        <w:spacing w:after="80" w:line="252" w:lineRule="auto"/>
        <w:ind w:left="142" w:right="-329" w:hanging="284"/>
        <w:contextualSpacing w:val="0"/>
        <w:rPr>
          <w:rFonts w:eastAsia="Calibri" w:cstheme="minorHAnsi"/>
          <w:sz w:val="21"/>
          <w:szCs w:val="21"/>
        </w:rPr>
      </w:pPr>
      <w:r w:rsidRPr="00A35914">
        <w:rPr>
          <w:rFonts w:eastAsia="Calibri" w:cstheme="minorHAnsi"/>
          <w:sz w:val="21"/>
          <w:szCs w:val="21"/>
        </w:rPr>
        <w:t>Body dissatisfaction is an established risk factor for eating disorders.</w:t>
      </w:r>
      <w:r w:rsidRPr="00A35914">
        <w:rPr>
          <w:rStyle w:val="EndnoteReference"/>
          <w:rFonts w:eastAsia="Calibri" w:cstheme="minorHAnsi"/>
          <w:sz w:val="21"/>
          <w:szCs w:val="21"/>
        </w:rPr>
        <w:endnoteReference w:id="6"/>
      </w:r>
      <w:r w:rsidRPr="00A35914">
        <w:rPr>
          <w:rFonts w:eastAsia="Calibri" w:cstheme="minorHAnsi"/>
          <w:sz w:val="21"/>
          <w:szCs w:val="21"/>
        </w:rPr>
        <w:t xml:space="preserve">  </w:t>
      </w:r>
    </w:p>
    <w:p w14:paraId="3597EAC8" w14:textId="3A96818A" w:rsidR="00223E0E" w:rsidRPr="00A35914" w:rsidRDefault="00D76FEF" w:rsidP="00A35914">
      <w:pPr>
        <w:pStyle w:val="ListParagraph"/>
        <w:numPr>
          <w:ilvl w:val="0"/>
          <w:numId w:val="9"/>
        </w:numPr>
        <w:spacing w:after="80" w:line="252" w:lineRule="auto"/>
        <w:ind w:left="142" w:right="-329" w:hanging="284"/>
        <w:contextualSpacing w:val="0"/>
        <w:rPr>
          <w:rFonts w:eastAsia="MS Mincho" w:cstheme="minorHAnsi"/>
          <w:sz w:val="21"/>
          <w:szCs w:val="21"/>
          <w:lang w:eastAsia="en-AU"/>
        </w:rPr>
      </w:pPr>
      <w:r w:rsidRPr="00A35914">
        <w:rPr>
          <w:rFonts w:eastAsia="MS Mincho" w:cstheme="minorHAnsi"/>
          <w:sz w:val="21"/>
          <w:szCs w:val="21"/>
          <w:lang w:eastAsia="en-AU"/>
        </w:rPr>
        <w:t>Among Australian women, body dissatisfaction mainly manifests in </w:t>
      </w:r>
      <w:hyperlink r:id="rId11" w:history="1">
        <w:r w:rsidRPr="00A35914">
          <w:rPr>
            <w:rFonts w:eastAsia="MS Mincho" w:cstheme="minorHAnsi"/>
            <w:sz w:val="21"/>
            <w:szCs w:val="21"/>
            <w:lang w:eastAsia="en-AU"/>
          </w:rPr>
          <w:t>concerns about weight</w:t>
        </w:r>
      </w:hyperlink>
      <w:r w:rsidRPr="00A35914">
        <w:rPr>
          <w:rFonts w:eastAsia="MS Mincho" w:cstheme="minorHAnsi"/>
          <w:sz w:val="21"/>
          <w:szCs w:val="21"/>
          <w:lang w:eastAsia="en-AU"/>
        </w:rPr>
        <w:t>, even in those who are underweight or a healthy weight.</w:t>
      </w:r>
      <w:r w:rsidRPr="00A35914">
        <w:rPr>
          <w:rFonts w:cstheme="minorHAnsi"/>
          <w:sz w:val="21"/>
          <w:szCs w:val="21"/>
          <w:vertAlign w:val="superscript"/>
          <w:lang w:eastAsia="en-AU"/>
        </w:rPr>
        <w:endnoteReference w:id="7"/>
      </w:r>
      <w:r w:rsidRPr="00A35914">
        <w:rPr>
          <w:rFonts w:eastAsia="MS Mincho" w:cstheme="minorHAnsi"/>
          <w:sz w:val="21"/>
          <w:szCs w:val="21"/>
          <w:lang w:eastAsia="en-AU"/>
        </w:rPr>
        <w:t xml:space="preserve"> </w:t>
      </w:r>
    </w:p>
    <w:p w14:paraId="4D321239" w14:textId="59099614" w:rsidR="00D76FEF" w:rsidRPr="00A35914" w:rsidRDefault="00D76FEF" w:rsidP="00A35914">
      <w:pPr>
        <w:pStyle w:val="ListParagraph"/>
        <w:numPr>
          <w:ilvl w:val="0"/>
          <w:numId w:val="9"/>
        </w:numPr>
        <w:spacing w:after="80" w:line="252" w:lineRule="auto"/>
        <w:ind w:left="142" w:right="-329" w:hanging="284"/>
        <w:contextualSpacing w:val="0"/>
        <w:rPr>
          <w:rFonts w:eastAsia="MS Mincho" w:cstheme="minorHAnsi"/>
          <w:sz w:val="21"/>
          <w:szCs w:val="21"/>
          <w:lang w:eastAsia="en-AU"/>
        </w:rPr>
      </w:pPr>
      <w:r w:rsidRPr="00A35914">
        <w:rPr>
          <w:rFonts w:eastAsia="MS Mincho" w:cstheme="minorHAnsi"/>
          <w:sz w:val="21"/>
          <w:szCs w:val="21"/>
          <w:lang w:eastAsia="en-AU"/>
        </w:rPr>
        <w:t>Body dissatisfaction often emerges during childhood and peaks in adolescence when young women are ‘acutely attuned’ to their body weight and shape.</w:t>
      </w:r>
      <w:r w:rsidRPr="00A35914">
        <w:rPr>
          <w:rFonts w:cstheme="minorHAnsi"/>
          <w:sz w:val="21"/>
          <w:szCs w:val="21"/>
          <w:vertAlign w:val="superscript"/>
          <w:lang w:eastAsia="en-AU"/>
        </w:rPr>
        <w:endnoteReference w:id="8"/>
      </w:r>
    </w:p>
    <w:p w14:paraId="03CDE780" w14:textId="1A6B846D" w:rsidR="00223E0E" w:rsidRPr="00A35914" w:rsidRDefault="00223E0E" w:rsidP="00A35914">
      <w:pPr>
        <w:pStyle w:val="ListParagraph"/>
        <w:numPr>
          <w:ilvl w:val="0"/>
          <w:numId w:val="9"/>
        </w:numPr>
        <w:spacing w:after="80" w:line="252" w:lineRule="auto"/>
        <w:ind w:left="142" w:right="-329" w:hanging="284"/>
        <w:contextualSpacing w:val="0"/>
        <w:rPr>
          <w:rFonts w:eastAsia="Calibri" w:cstheme="minorHAnsi"/>
          <w:sz w:val="21"/>
          <w:szCs w:val="21"/>
        </w:rPr>
      </w:pPr>
      <w:r w:rsidRPr="00A35914">
        <w:rPr>
          <w:rFonts w:eastAsia="Calibri" w:cstheme="minorHAnsi"/>
          <w:sz w:val="21"/>
          <w:szCs w:val="21"/>
        </w:rPr>
        <w:t>R</w:t>
      </w:r>
      <w:r w:rsidR="00D76FEF" w:rsidRPr="00A35914">
        <w:rPr>
          <w:rFonts w:eastAsia="Calibri" w:cstheme="minorHAnsi"/>
          <w:sz w:val="21"/>
          <w:szCs w:val="21"/>
        </w:rPr>
        <w:t>egardless of BMI, adolescents who perceive themselves to be underweight or overweight ha</w:t>
      </w:r>
      <w:r w:rsidR="00260922" w:rsidRPr="00A35914">
        <w:rPr>
          <w:rFonts w:eastAsia="Calibri" w:cstheme="minorHAnsi"/>
          <w:sz w:val="21"/>
          <w:szCs w:val="21"/>
        </w:rPr>
        <w:t>ve</w:t>
      </w:r>
      <w:r w:rsidR="00D76FEF" w:rsidRPr="00A35914">
        <w:rPr>
          <w:rFonts w:eastAsia="Calibri" w:cstheme="minorHAnsi"/>
          <w:sz w:val="21"/>
          <w:szCs w:val="21"/>
        </w:rPr>
        <w:t xml:space="preserve"> poorer physical activity and eating patterns, compared to adolescents who perceive their weight to be "about right".</w:t>
      </w:r>
      <w:r w:rsidR="00D76FEF" w:rsidRPr="00A35914">
        <w:rPr>
          <w:rStyle w:val="EndnoteReference"/>
          <w:rFonts w:eastAsia="Calibri" w:cstheme="minorHAnsi"/>
          <w:sz w:val="21"/>
          <w:szCs w:val="21"/>
        </w:rPr>
        <w:endnoteReference w:id="9"/>
      </w:r>
      <w:r w:rsidR="00D76FEF" w:rsidRPr="00A35914">
        <w:rPr>
          <w:rFonts w:eastAsia="Calibri" w:cstheme="minorHAnsi"/>
          <w:sz w:val="21"/>
          <w:szCs w:val="21"/>
        </w:rPr>
        <w:t xml:space="preserve"> </w:t>
      </w:r>
    </w:p>
    <w:p w14:paraId="1E53D9D0" w14:textId="433C9BCA" w:rsidR="00D76FEF" w:rsidRPr="00A35914" w:rsidRDefault="00D76FEF" w:rsidP="00A35914">
      <w:pPr>
        <w:pStyle w:val="ListParagraph"/>
        <w:numPr>
          <w:ilvl w:val="0"/>
          <w:numId w:val="9"/>
        </w:numPr>
        <w:spacing w:after="120" w:line="252" w:lineRule="auto"/>
        <w:ind w:left="142" w:right="-329" w:hanging="284"/>
        <w:contextualSpacing w:val="0"/>
        <w:rPr>
          <w:rFonts w:eastAsia="Calibri" w:cstheme="minorHAnsi"/>
          <w:sz w:val="21"/>
          <w:szCs w:val="21"/>
        </w:rPr>
      </w:pPr>
      <w:r w:rsidRPr="00A35914">
        <w:rPr>
          <w:rFonts w:cstheme="minorHAnsi"/>
          <w:sz w:val="21"/>
          <w:szCs w:val="21"/>
        </w:rPr>
        <w:t>The postnatal period is not a good time for weight-focused ‘guidance and support’ as proposed in 1.1.4. The perinatal period is a time associated with high risk for the development an eating disorder</w:t>
      </w:r>
      <w:r w:rsidRPr="00A35914">
        <w:rPr>
          <w:rStyle w:val="EndnoteReference"/>
          <w:rFonts w:cstheme="minorHAnsi"/>
          <w:sz w:val="21"/>
          <w:szCs w:val="21"/>
        </w:rPr>
        <w:endnoteReference w:id="10"/>
      </w:r>
      <w:r w:rsidRPr="00A35914">
        <w:rPr>
          <w:rFonts w:cstheme="minorHAnsi"/>
          <w:sz w:val="21"/>
          <w:szCs w:val="21"/>
        </w:rPr>
        <w:t xml:space="preserve"> and poor body image for women.</w:t>
      </w:r>
      <w:r w:rsidRPr="00A35914">
        <w:rPr>
          <w:rStyle w:val="EndnoteReference"/>
          <w:rFonts w:cstheme="minorHAnsi"/>
          <w:sz w:val="21"/>
          <w:szCs w:val="21"/>
        </w:rPr>
        <w:endnoteReference w:id="11"/>
      </w:r>
    </w:p>
    <w:p w14:paraId="11D7C07B" w14:textId="77777777" w:rsidR="00D76FEF" w:rsidRPr="008166E5" w:rsidRDefault="00D76FEF" w:rsidP="00A35914">
      <w:pPr>
        <w:spacing w:after="120" w:line="252" w:lineRule="auto"/>
        <w:ind w:left="-284" w:right="-330"/>
        <w:rPr>
          <w:rFonts w:cstheme="minorHAnsi"/>
          <w:b/>
          <w:u w:val="single"/>
        </w:rPr>
      </w:pPr>
      <w:r w:rsidRPr="008166E5">
        <w:rPr>
          <w:rFonts w:cstheme="minorHAnsi"/>
          <w:b/>
          <w:u w:val="single"/>
        </w:rPr>
        <w:t>Eating disorders</w:t>
      </w:r>
    </w:p>
    <w:p w14:paraId="478B9B29" w14:textId="29C40BFC" w:rsidR="00E50937" w:rsidRPr="00A35914" w:rsidRDefault="00D76FEF" w:rsidP="00A35914">
      <w:pPr>
        <w:spacing w:after="120" w:line="252" w:lineRule="auto"/>
        <w:ind w:left="-284" w:right="-330"/>
        <w:rPr>
          <w:rFonts w:eastAsia="Calibri" w:cstheme="minorHAnsi"/>
          <w:sz w:val="21"/>
          <w:szCs w:val="21"/>
        </w:rPr>
      </w:pPr>
      <w:r w:rsidRPr="00A35914">
        <w:rPr>
          <w:rFonts w:eastAsia="Calibri" w:cstheme="minorHAnsi"/>
          <w:sz w:val="21"/>
          <w:szCs w:val="21"/>
        </w:rPr>
        <w:t>Eating disorders are severe mental illnesses that have a high mortality rate</w:t>
      </w:r>
      <w:r w:rsidRPr="00A35914">
        <w:rPr>
          <w:rStyle w:val="EndnoteReference"/>
          <w:rFonts w:eastAsia="Calibri" w:cstheme="minorHAnsi"/>
          <w:sz w:val="21"/>
          <w:szCs w:val="21"/>
        </w:rPr>
        <w:endnoteReference w:id="12"/>
      </w:r>
      <w:r w:rsidRPr="00A35914">
        <w:rPr>
          <w:rFonts w:eastAsia="Calibri" w:cstheme="minorHAnsi"/>
          <w:sz w:val="21"/>
          <w:szCs w:val="21"/>
        </w:rPr>
        <w:t xml:space="preserve"> and are a leading contributor to the non-fatal burden of disease among Australian women aged between 15-44 years.</w:t>
      </w:r>
      <w:r w:rsidRPr="00A35914">
        <w:rPr>
          <w:rStyle w:val="EndnoteReference"/>
          <w:rFonts w:eastAsia="Calibri" w:cstheme="minorHAnsi"/>
          <w:sz w:val="21"/>
          <w:szCs w:val="21"/>
        </w:rPr>
        <w:endnoteReference w:id="13"/>
      </w:r>
      <w:r w:rsidRPr="00A35914">
        <w:rPr>
          <w:rStyle w:val="EndnoteReference"/>
          <w:rFonts w:eastAsia="Calibri" w:cstheme="minorHAnsi"/>
          <w:sz w:val="21"/>
          <w:szCs w:val="21"/>
        </w:rPr>
        <w:endnoteReference w:id="14"/>
      </w:r>
      <w:r w:rsidRPr="00A35914">
        <w:rPr>
          <w:rFonts w:eastAsia="Calibri" w:cstheme="minorHAnsi"/>
          <w:sz w:val="21"/>
          <w:szCs w:val="21"/>
        </w:rPr>
        <w:t xml:space="preserve"> </w:t>
      </w:r>
    </w:p>
    <w:p w14:paraId="71220462" w14:textId="25D32461" w:rsidR="00E50937" w:rsidRPr="00A35914" w:rsidRDefault="00D76FEF" w:rsidP="00A35914">
      <w:pPr>
        <w:pStyle w:val="ListParagraph"/>
        <w:numPr>
          <w:ilvl w:val="0"/>
          <w:numId w:val="10"/>
        </w:numPr>
        <w:spacing w:after="80" w:line="252" w:lineRule="auto"/>
        <w:ind w:left="142" w:right="-329" w:hanging="284"/>
        <w:contextualSpacing w:val="0"/>
        <w:rPr>
          <w:rFonts w:eastAsia="Calibri" w:cstheme="minorHAnsi"/>
          <w:sz w:val="21"/>
          <w:szCs w:val="21"/>
        </w:rPr>
      </w:pPr>
      <w:r w:rsidRPr="00A35914">
        <w:rPr>
          <w:rFonts w:cstheme="minorHAnsi"/>
          <w:sz w:val="21"/>
          <w:szCs w:val="21"/>
        </w:rPr>
        <w:t xml:space="preserve">Disordered eating behaviours, such as yo-yo dieting, and compensatory behaviours, such as self-starvation, bingeing, and purging, that develop in response to </w:t>
      </w:r>
      <w:r w:rsidR="007F6C41" w:rsidRPr="00A35914">
        <w:rPr>
          <w:rFonts w:cstheme="minorHAnsi"/>
          <w:sz w:val="21"/>
          <w:szCs w:val="21"/>
        </w:rPr>
        <w:t xml:space="preserve">body dissatisfaction and </w:t>
      </w:r>
      <w:r w:rsidRPr="00A35914">
        <w:rPr>
          <w:rFonts w:cstheme="minorHAnsi"/>
          <w:sz w:val="21"/>
          <w:szCs w:val="21"/>
        </w:rPr>
        <w:t xml:space="preserve">weight stigma often begin in adolescence and predict poorer health in adulthood. </w:t>
      </w:r>
    </w:p>
    <w:p w14:paraId="1CFFDFD7" w14:textId="6A036789" w:rsidR="00D76FEF" w:rsidRPr="00A35914" w:rsidRDefault="00D76FEF" w:rsidP="00A35914">
      <w:pPr>
        <w:pStyle w:val="ListParagraph"/>
        <w:numPr>
          <w:ilvl w:val="0"/>
          <w:numId w:val="10"/>
        </w:numPr>
        <w:spacing w:after="120" w:line="252" w:lineRule="auto"/>
        <w:ind w:left="142" w:right="-329" w:hanging="284"/>
        <w:contextualSpacing w:val="0"/>
        <w:rPr>
          <w:rFonts w:eastAsia="Calibri" w:cstheme="minorHAnsi"/>
          <w:sz w:val="21"/>
          <w:szCs w:val="21"/>
        </w:rPr>
      </w:pPr>
      <w:r w:rsidRPr="00A35914">
        <w:rPr>
          <w:rFonts w:eastAsia="Calibri" w:cstheme="minorHAnsi"/>
          <w:sz w:val="21"/>
          <w:szCs w:val="21"/>
        </w:rPr>
        <w:t xml:space="preserve">Campaigns and programs targeting eating, physical activity and other health-promoting behaviours should </w:t>
      </w:r>
      <w:r w:rsidR="00B5139A" w:rsidRPr="00A35914">
        <w:rPr>
          <w:rFonts w:eastAsia="Calibri" w:cstheme="minorHAnsi"/>
          <w:sz w:val="21"/>
          <w:szCs w:val="21"/>
        </w:rPr>
        <w:t>be</w:t>
      </w:r>
      <w:r w:rsidRPr="00A35914">
        <w:rPr>
          <w:rFonts w:eastAsia="Calibri" w:cstheme="minorHAnsi"/>
          <w:sz w:val="21"/>
          <w:szCs w:val="21"/>
        </w:rPr>
        <w:t xml:space="preserve"> aligned with a do</w:t>
      </w:r>
      <w:r w:rsidR="00E50937" w:rsidRPr="00A35914">
        <w:rPr>
          <w:rFonts w:eastAsia="Calibri" w:cstheme="minorHAnsi"/>
          <w:sz w:val="21"/>
          <w:szCs w:val="21"/>
        </w:rPr>
        <w:t>-</w:t>
      </w:r>
      <w:r w:rsidRPr="00A35914">
        <w:rPr>
          <w:rFonts w:eastAsia="Calibri" w:cstheme="minorHAnsi"/>
          <w:sz w:val="21"/>
          <w:szCs w:val="21"/>
        </w:rPr>
        <w:t>no</w:t>
      </w:r>
      <w:r w:rsidR="00E50937" w:rsidRPr="00A35914">
        <w:rPr>
          <w:rFonts w:eastAsia="Calibri" w:cstheme="minorHAnsi"/>
          <w:sz w:val="21"/>
          <w:szCs w:val="21"/>
        </w:rPr>
        <w:t>-</w:t>
      </w:r>
      <w:r w:rsidRPr="00A35914">
        <w:rPr>
          <w:rFonts w:eastAsia="Calibri" w:cstheme="minorHAnsi"/>
          <w:sz w:val="21"/>
          <w:szCs w:val="21"/>
        </w:rPr>
        <w:t>harm approach.</w:t>
      </w:r>
      <w:r w:rsidRPr="00A35914">
        <w:rPr>
          <w:rStyle w:val="EndnoteReference"/>
          <w:rFonts w:eastAsia="Calibri" w:cstheme="minorHAnsi"/>
          <w:sz w:val="21"/>
          <w:szCs w:val="21"/>
        </w:rPr>
        <w:endnoteReference w:id="15"/>
      </w:r>
      <w:r w:rsidRPr="00A35914">
        <w:rPr>
          <w:rFonts w:eastAsia="Calibri" w:cstheme="minorHAnsi"/>
          <w:sz w:val="21"/>
          <w:szCs w:val="21"/>
        </w:rPr>
        <w:t xml:space="preserve"> </w:t>
      </w:r>
    </w:p>
    <w:p w14:paraId="1F3AF494" w14:textId="77777777" w:rsidR="00D76FEF" w:rsidRPr="008166E5" w:rsidRDefault="00D76FEF" w:rsidP="00A35914">
      <w:pPr>
        <w:spacing w:line="252" w:lineRule="auto"/>
        <w:ind w:left="-284" w:right="-330"/>
        <w:rPr>
          <w:rFonts w:cstheme="minorHAnsi"/>
          <w:b/>
          <w:u w:val="single"/>
        </w:rPr>
      </w:pPr>
      <w:r w:rsidRPr="008166E5">
        <w:rPr>
          <w:rFonts w:cstheme="minorHAnsi"/>
          <w:b/>
          <w:u w:val="single"/>
        </w:rPr>
        <w:t>Weight stigma</w:t>
      </w:r>
    </w:p>
    <w:p w14:paraId="33C59175" w14:textId="2F0FFAA4" w:rsidR="00D76FEF" w:rsidRPr="00A35914" w:rsidRDefault="00D76FEF" w:rsidP="00A35914">
      <w:pPr>
        <w:spacing w:line="252" w:lineRule="auto"/>
        <w:ind w:left="-284" w:right="-330"/>
        <w:rPr>
          <w:rFonts w:eastAsia="Calibri" w:cstheme="minorHAnsi"/>
          <w:sz w:val="21"/>
          <w:szCs w:val="21"/>
        </w:rPr>
      </w:pPr>
      <w:r w:rsidRPr="00A35914">
        <w:rPr>
          <w:rFonts w:eastAsia="Calibri" w:cstheme="minorHAnsi"/>
          <w:sz w:val="21"/>
          <w:szCs w:val="21"/>
        </w:rPr>
        <w:t xml:space="preserve">Another harm of focusing on the weight, shape and size of bodies is the potential </w:t>
      </w:r>
      <w:r w:rsidR="007F6C41" w:rsidRPr="00A35914">
        <w:rPr>
          <w:rFonts w:eastAsia="Calibri" w:cstheme="minorHAnsi"/>
          <w:sz w:val="21"/>
          <w:szCs w:val="21"/>
        </w:rPr>
        <w:t xml:space="preserve">to reinforce stigmatising attitudes and </w:t>
      </w:r>
      <w:r w:rsidRPr="00A35914">
        <w:rPr>
          <w:rFonts w:eastAsia="Calibri" w:cstheme="minorHAnsi"/>
          <w:sz w:val="21"/>
          <w:szCs w:val="21"/>
        </w:rPr>
        <w:t>bullying. Pathologising certain body shapes and sizes while idealising others contributes to weight stigma.</w:t>
      </w:r>
      <w:r w:rsidR="00E50937" w:rsidRPr="00A35914">
        <w:rPr>
          <w:rFonts w:eastAsia="Calibri" w:cstheme="minorHAnsi"/>
          <w:sz w:val="21"/>
          <w:szCs w:val="21"/>
        </w:rPr>
        <w:t xml:space="preserve"> More information on weight stigma in Australia </w:t>
      </w:r>
      <w:r w:rsidR="008A3B5A" w:rsidRPr="00A35914">
        <w:rPr>
          <w:rFonts w:eastAsia="Calibri" w:cstheme="minorHAnsi"/>
          <w:sz w:val="21"/>
          <w:szCs w:val="21"/>
        </w:rPr>
        <w:t xml:space="preserve">is provided </w:t>
      </w:r>
      <w:r w:rsidR="00E50937" w:rsidRPr="00A35914">
        <w:rPr>
          <w:rFonts w:eastAsia="Calibri" w:cstheme="minorHAnsi"/>
          <w:sz w:val="21"/>
          <w:szCs w:val="21"/>
        </w:rPr>
        <w:t xml:space="preserve">on </w:t>
      </w:r>
      <w:r w:rsidR="00E50937" w:rsidRPr="004E6386">
        <w:rPr>
          <w:rFonts w:eastAsia="Calibri" w:cstheme="minorHAnsi"/>
          <w:sz w:val="21"/>
          <w:szCs w:val="21"/>
        </w:rPr>
        <w:t>page 4.</w:t>
      </w:r>
      <w:r w:rsidRPr="00A35914">
        <w:rPr>
          <w:rFonts w:eastAsia="Calibri" w:cstheme="minorHAnsi"/>
          <w:sz w:val="21"/>
          <w:szCs w:val="21"/>
        </w:rPr>
        <w:t xml:space="preserve"> </w:t>
      </w:r>
    </w:p>
    <w:p w14:paraId="3D69F81E" w14:textId="130F35FB" w:rsidR="00D76FEF" w:rsidRPr="00A35914" w:rsidRDefault="00D76FEF" w:rsidP="00A35914">
      <w:pPr>
        <w:spacing w:line="252" w:lineRule="auto"/>
        <w:ind w:left="-284" w:right="-330"/>
        <w:rPr>
          <w:rFonts w:cstheme="minorHAnsi"/>
          <w:sz w:val="21"/>
          <w:szCs w:val="21"/>
        </w:rPr>
      </w:pPr>
      <w:r w:rsidRPr="00A35914">
        <w:rPr>
          <w:rFonts w:cstheme="minorHAnsi"/>
          <w:sz w:val="21"/>
          <w:szCs w:val="21"/>
        </w:rPr>
        <w:t>When evaluating the strategy and associated health promotion programs and interventions, more comprehensive measures of success such as quality of life and psychological and eating disorder outcomes should be reported on, rather than an over-reliance on BMI and weight loss</w:t>
      </w:r>
      <w:r w:rsidR="007F6C41" w:rsidRPr="00A35914">
        <w:rPr>
          <w:rFonts w:cstheme="minorHAnsi"/>
          <w:sz w:val="21"/>
          <w:szCs w:val="21"/>
        </w:rPr>
        <w:t>. This approach is</w:t>
      </w:r>
      <w:r w:rsidRPr="00A35914">
        <w:rPr>
          <w:rFonts w:cstheme="minorHAnsi"/>
          <w:sz w:val="21"/>
          <w:szCs w:val="21"/>
        </w:rPr>
        <w:t xml:space="preserve"> recommended by the National Eating Disorders Collaboration.</w:t>
      </w:r>
      <w:r w:rsidRPr="00A35914">
        <w:rPr>
          <w:rStyle w:val="EndnoteReference"/>
          <w:rFonts w:cstheme="minorHAnsi"/>
          <w:sz w:val="21"/>
          <w:szCs w:val="21"/>
        </w:rPr>
        <w:endnoteReference w:id="16"/>
      </w:r>
    </w:p>
    <w:p w14:paraId="25605CBC" w14:textId="77777777" w:rsidR="00D76FEF" w:rsidRPr="00A35914" w:rsidRDefault="00D76FEF" w:rsidP="00A35914">
      <w:pPr>
        <w:spacing w:line="252" w:lineRule="auto"/>
        <w:ind w:left="-284" w:right="-330"/>
        <w:rPr>
          <w:rFonts w:cstheme="minorHAnsi"/>
          <w:sz w:val="21"/>
          <w:szCs w:val="21"/>
        </w:rPr>
      </w:pPr>
      <w:r w:rsidRPr="00A35914">
        <w:rPr>
          <w:rFonts w:cstheme="minorHAnsi"/>
          <w:b/>
          <w:sz w:val="21"/>
          <w:szCs w:val="21"/>
        </w:rPr>
        <w:t>Recommendations</w:t>
      </w:r>
      <w:r w:rsidRPr="00A35914">
        <w:rPr>
          <w:rFonts w:cstheme="minorHAnsi"/>
          <w:sz w:val="21"/>
          <w:szCs w:val="21"/>
        </w:rPr>
        <w:t xml:space="preserve">: </w:t>
      </w:r>
    </w:p>
    <w:p w14:paraId="7CD256DC" w14:textId="57082E71" w:rsidR="00D76FEF" w:rsidRPr="00A35914" w:rsidRDefault="00D76FEF" w:rsidP="00A35914">
      <w:pPr>
        <w:pStyle w:val="ListParagraph"/>
        <w:numPr>
          <w:ilvl w:val="0"/>
          <w:numId w:val="13"/>
        </w:numPr>
        <w:shd w:val="clear" w:color="auto" w:fill="DEEAF6" w:themeFill="accent5" w:themeFillTint="33"/>
        <w:spacing w:after="80" w:line="252" w:lineRule="auto"/>
        <w:ind w:left="572" w:right="-329" w:hanging="357"/>
        <w:contextualSpacing w:val="0"/>
        <w:rPr>
          <w:rFonts w:cstheme="minorHAnsi"/>
          <w:sz w:val="21"/>
          <w:szCs w:val="21"/>
        </w:rPr>
      </w:pPr>
      <w:r w:rsidRPr="00A35914">
        <w:rPr>
          <w:rFonts w:cstheme="minorHAnsi"/>
          <w:sz w:val="21"/>
          <w:szCs w:val="21"/>
        </w:rPr>
        <w:t xml:space="preserve">Remove focus on weight and rename strategy </w:t>
      </w:r>
      <w:r w:rsidR="00D24344">
        <w:rPr>
          <w:rFonts w:cstheme="minorHAnsi"/>
          <w:sz w:val="21"/>
          <w:szCs w:val="21"/>
        </w:rPr>
        <w:t xml:space="preserve">to </w:t>
      </w:r>
      <w:r w:rsidRPr="00A35914">
        <w:rPr>
          <w:rFonts w:cstheme="minorHAnsi"/>
          <w:sz w:val="21"/>
          <w:szCs w:val="21"/>
        </w:rPr>
        <w:t xml:space="preserve">reduce the impact of a weight-focused narrative on the health and wellbeing of </w:t>
      </w:r>
      <w:r w:rsidR="00C067FD">
        <w:rPr>
          <w:rFonts w:cstheme="minorHAnsi"/>
          <w:sz w:val="21"/>
          <w:szCs w:val="21"/>
        </w:rPr>
        <w:t xml:space="preserve">women and girls </w:t>
      </w:r>
      <w:r w:rsidRPr="00A35914">
        <w:rPr>
          <w:rFonts w:cstheme="minorHAnsi"/>
          <w:sz w:val="21"/>
          <w:szCs w:val="21"/>
        </w:rPr>
        <w:t>who are at high risk of experiencing body dissatisfaction and body image concerns.</w:t>
      </w:r>
    </w:p>
    <w:p w14:paraId="2C5B2976" w14:textId="7627C685" w:rsidR="00D76FEF" w:rsidRPr="00A35914" w:rsidRDefault="00B5139A" w:rsidP="00A35914">
      <w:pPr>
        <w:pStyle w:val="ListParagraph"/>
        <w:numPr>
          <w:ilvl w:val="0"/>
          <w:numId w:val="13"/>
        </w:numPr>
        <w:shd w:val="clear" w:color="auto" w:fill="DEEAF6" w:themeFill="accent5" w:themeFillTint="33"/>
        <w:spacing w:after="80" w:line="252" w:lineRule="auto"/>
        <w:ind w:left="572" w:right="-329" w:hanging="357"/>
        <w:contextualSpacing w:val="0"/>
        <w:rPr>
          <w:rFonts w:eastAsia="Calibri" w:cstheme="minorHAnsi"/>
          <w:sz w:val="21"/>
          <w:szCs w:val="21"/>
        </w:rPr>
      </w:pPr>
      <w:r w:rsidRPr="00A35914">
        <w:rPr>
          <w:rFonts w:cstheme="minorHAnsi"/>
          <w:sz w:val="21"/>
          <w:szCs w:val="21"/>
        </w:rPr>
        <w:t xml:space="preserve">Refocus </w:t>
      </w:r>
      <w:r w:rsidR="00D76FEF" w:rsidRPr="00A35914">
        <w:rPr>
          <w:rFonts w:cstheme="minorHAnsi"/>
          <w:sz w:val="21"/>
          <w:szCs w:val="21"/>
        </w:rPr>
        <w:t xml:space="preserve">Priority Area 1 to </w:t>
      </w:r>
      <w:r w:rsidR="00D76FEF" w:rsidRPr="00A35914">
        <w:rPr>
          <w:rFonts w:eastAsia="Calibri" w:cstheme="minorHAnsi"/>
          <w:b/>
          <w:sz w:val="21"/>
          <w:szCs w:val="21"/>
        </w:rPr>
        <w:t xml:space="preserve">Supporting children and families: starting early to support </w:t>
      </w:r>
      <w:r w:rsidR="00D76FEF" w:rsidRPr="00A35914">
        <w:rPr>
          <w:rFonts w:eastAsia="Calibri" w:cstheme="minorHAnsi"/>
          <w:b/>
          <w:i/>
          <w:sz w:val="21"/>
          <w:szCs w:val="21"/>
        </w:rPr>
        <w:t>healthy habits</w:t>
      </w:r>
      <w:r w:rsidR="00D76FEF" w:rsidRPr="00A35914">
        <w:rPr>
          <w:rFonts w:eastAsia="Calibri" w:cstheme="minorHAnsi"/>
          <w:b/>
          <w:sz w:val="21"/>
          <w:szCs w:val="21"/>
        </w:rPr>
        <w:t xml:space="preserve"> throughout life</w:t>
      </w:r>
    </w:p>
    <w:p w14:paraId="4052714E" w14:textId="3DA49AA8" w:rsidR="00D76FEF" w:rsidRPr="00A35914" w:rsidRDefault="00B5139A" w:rsidP="00A35914">
      <w:pPr>
        <w:pStyle w:val="ListParagraph"/>
        <w:numPr>
          <w:ilvl w:val="0"/>
          <w:numId w:val="13"/>
        </w:numPr>
        <w:shd w:val="clear" w:color="auto" w:fill="DEEAF6" w:themeFill="accent5" w:themeFillTint="33"/>
        <w:spacing w:after="80" w:line="252" w:lineRule="auto"/>
        <w:ind w:left="572" w:right="-329" w:hanging="357"/>
        <w:contextualSpacing w:val="0"/>
        <w:rPr>
          <w:rFonts w:cstheme="minorHAnsi"/>
          <w:sz w:val="21"/>
          <w:szCs w:val="21"/>
        </w:rPr>
      </w:pPr>
      <w:r w:rsidRPr="00A35914">
        <w:rPr>
          <w:rFonts w:cstheme="minorHAnsi"/>
          <w:sz w:val="21"/>
          <w:szCs w:val="21"/>
        </w:rPr>
        <w:t xml:space="preserve">Refocus </w:t>
      </w:r>
      <w:r w:rsidR="00D76FEF" w:rsidRPr="00A35914">
        <w:rPr>
          <w:rFonts w:cstheme="minorHAnsi"/>
          <w:sz w:val="21"/>
          <w:szCs w:val="21"/>
        </w:rPr>
        <w:t xml:space="preserve">Priority Area 2 to: </w:t>
      </w:r>
      <w:r w:rsidR="00D76FEF" w:rsidRPr="00A35914">
        <w:rPr>
          <w:rFonts w:eastAsia="Calibri" w:cstheme="minorHAnsi"/>
          <w:b/>
          <w:sz w:val="21"/>
          <w:szCs w:val="21"/>
        </w:rPr>
        <w:t xml:space="preserve">Mobilising people and communities: using knowledge, strengths and community connections to enable </w:t>
      </w:r>
      <w:r w:rsidR="00D76FEF" w:rsidRPr="00A35914">
        <w:rPr>
          <w:rFonts w:eastAsia="Calibri" w:cstheme="minorHAnsi"/>
          <w:b/>
          <w:i/>
          <w:sz w:val="21"/>
          <w:szCs w:val="21"/>
        </w:rPr>
        <w:t>healthy habits and wellbeing</w:t>
      </w:r>
    </w:p>
    <w:p w14:paraId="7EAFC1E1" w14:textId="77777777" w:rsidR="00A17430" w:rsidRPr="00A35914" w:rsidRDefault="00A17430" w:rsidP="00A35914">
      <w:pPr>
        <w:pStyle w:val="ListParagraph"/>
        <w:numPr>
          <w:ilvl w:val="0"/>
          <w:numId w:val="13"/>
        </w:numPr>
        <w:shd w:val="clear" w:color="auto" w:fill="DEEAF6" w:themeFill="accent5" w:themeFillTint="33"/>
        <w:spacing w:after="80" w:line="252" w:lineRule="auto"/>
        <w:ind w:left="572" w:right="-329" w:hanging="357"/>
        <w:contextualSpacing w:val="0"/>
        <w:rPr>
          <w:rFonts w:cstheme="minorHAnsi"/>
          <w:sz w:val="21"/>
          <w:szCs w:val="21"/>
        </w:rPr>
      </w:pPr>
      <w:r w:rsidRPr="00A35914">
        <w:rPr>
          <w:rFonts w:eastAsia="Calibri" w:cstheme="minorHAnsi"/>
          <w:sz w:val="21"/>
          <w:szCs w:val="21"/>
        </w:rPr>
        <w:t>Priority Area 1.1.4: Ensure that ‘healthy eating and physical activity guidance and support’ offered to new parents is not weight-focused.</w:t>
      </w:r>
    </w:p>
    <w:p w14:paraId="35D18438" w14:textId="061B9C78" w:rsidR="00D76FEF" w:rsidRPr="00A35914" w:rsidRDefault="00CD62B1" w:rsidP="00A35914">
      <w:pPr>
        <w:pStyle w:val="ListParagraph"/>
        <w:numPr>
          <w:ilvl w:val="0"/>
          <w:numId w:val="13"/>
        </w:numPr>
        <w:shd w:val="clear" w:color="auto" w:fill="DEEAF6" w:themeFill="accent5" w:themeFillTint="33"/>
        <w:spacing w:after="80" w:line="252" w:lineRule="auto"/>
        <w:ind w:left="572" w:right="-329" w:hanging="357"/>
        <w:contextualSpacing w:val="0"/>
        <w:rPr>
          <w:rFonts w:eastAsia="Calibri" w:cstheme="minorHAnsi"/>
          <w:sz w:val="21"/>
          <w:szCs w:val="21"/>
        </w:rPr>
      </w:pPr>
      <w:r w:rsidRPr="00A35914">
        <w:rPr>
          <w:rFonts w:eastAsia="Calibri" w:cstheme="minorHAnsi"/>
          <w:sz w:val="21"/>
          <w:szCs w:val="21"/>
        </w:rPr>
        <w:t xml:space="preserve">Amend </w:t>
      </w:r>
      <w:r w:rsidR="00D76FEF" w:rsidRPr="00A35914">
        <w:rPr>
          <w:rFonts w:eastAsia="Calibri" w:cstheme="minorHAnsi"/>
          <w:sz w:val="21"/>
          <w:szCs w:val="21"/>
        </w:rPr>
        <w:t>Proposed Enabler 2: Data. We strongly encourage the strategy to measure initiatives using health-related, behaviour-based, quality of life and equity-impact indicators.</w:t>
      </w:r>
      <w:r w:rsidRPr="00A35914">
        <w:rPr>
          <w:rFonts w:eastAsia="Calibri" w:cstheme="minorHAnsi"/>
          <w:sz w:val="21"/>
          <w:szCs w:val="21"/>
        </w:rPr>
        <w:t xml:space="preserve"> </w:t>
      </w:r>
    </w:p>
    <w:p w14:paraId="03FCD1DF" w14:textId="6BFA36FE" w:rsidR="00D76FEF" w:rsidRPr="008166E5" w:rsidRDefault="00D76FEF" w:rsidP="002C62D1">
      <w:pPr>
        <w:pStyle w:val="Heading3"/>
        <w:numPr>
          <w:ilvl w:val="0"/>
          <w:numId w:val="8"/>
        </w:numPr>
        <w:ind w:left="-284" w:right="-330" w:firstLine="0"/>
        <w:rPr>
          <w:rFonts w:cstheme="minorHAnsi"/>
          <w:color w:val="002060"/>
        </w:rPr>
      </w:pPr>
      <w:r w:rsidRPr="008166E5">
        <w:rPr>
          <w:rFonts w:cstheme="minorHAnsi"/>
          <w:color w:val="002060"/>
        </w:rPr>
        <w:lastRenderedPageBreak/>
        <w:t>Take a gendered approach</w:t>
      </w:r>
    </w:p>
    <w:p w14:paraId="150C142F" w14:textId="13B65FD8" w:rsidR="00D76FEF" w:rsidRPr="00A35914" w:rsidRDefault="00D76FEF" w:rsidP="00A35914">
      <w:pPr>
        <w:spacing w:line="252" w:lineRule="auto"/>
        <w:ind w:left="-284" w:right="-329"/>
        <w:rPr>
          <w:rFonts w:cstheme="minorHAnsi"/>
          <w:sz w:val="21"/>
          <w:szCs w:val="21"/>
        </w:rPr>
      </w:pPr>
      <w:r w:rsidRPr="00A35914">
        <w:rPr>
          <w:rFonts w:cstheme="minorHAnsi"/>
          <w:sz w:val="21"/>
          <w:szCs w:val="21"/>
        </w:rPr>
        <w:t>When promoting health</w:t>
      </w:r>
      <w:r w:rsidR="00A17430" w:rsidRPr="00A35914">
        <w:rPr>
          <w:rFonts w:cstheme="minorHAnsi"/>
          <w:sz w:val="21"/>
          <w:szCs w:val="21"/>
        </w:rPr>
        <w:t>y</w:t>
      </w:r>
      <w:r w:rsidRPr="00A35914">
        <w:rPr>
          <w:rFonts w:cstheme="minorHAnsi"/>
          <w:sz w:val="21"/>
          <w:szCs w:val="21"/>
        </w:rPr>
        <w:t xml:space="preserve"> activities, it is important to take a gendered approach</w:t>
      </w:r>
      <w:r w:rsidR="00A17430" w:rsidRPr="00A35914">
        <w:rPr>
          <w:rFonts w:cstheme="minorHAnsi"/>
          <w:sz w:val="21"/>
          <w:szCs w:val="21"/>
        </w:rPr>
        <w:t xml:space="preserve">. </w:t>
      </w:r>
      <w:proofErr w:type="gramStart"/>
      <w:r w:rsidR="0051003A" w:rsidRPr="00A35914">
        <w:rPr>
          <w:rFonts w:cstheme="minorHAnsi"/>
          <w:sz w:val="21"/>
          <w:szCs w:val="21"/>
        </w:rPr>
        <w:t>The causes</w:t>
      </w:r>
      <w:r w:rsidR="0051003A">
        <w:rPr>
          <w:rFonts w:cstheme="minorHAnsi"/>
          <w:sz w:val="21"/>
          <w:szCs w:val="21"/>
        </w:rPr>
        <w:t>,</w:t>
      </w:r>
      <w:proofErr w:type="gramEnd"/>
      <w:r w:rsidRPr="00A35914">
        <w:rPr>
          <w:rFonts w:cstheme="minorHAnsi"/>
          <w:sz w:val="21"/>
          <w:szCs w:val="21"/>
        </w:rPr>
        <w:t xml:space="preserve"> impacts and barriers to good health</w:t>
      </w:r>
      <w:r w:rsidR="00CB2975" w:rsidRPr="00A35914">
        <w:rPr>
          <w:rFonts w:cstheme="minorHAnsi"/>
          <w:sz w:val="21"/>
          <w:szCs w:val="21"/>
        </w:rPr>
        <w:t xml:space="preserve"> </w:t>
      </w:r>
      <w:r w:rsidRPr="00A35914">
        <w:rPr>
          <w:rFonts w:cstheme="minorHAnsi"/>
          <w:sz w:val="21"/>
          <w:szCs w:val="21"/>
        </w:rPr>
        <w:t xml:space="preserve">differ for males and females and therefore strategies need to consider the specific needs of women and girls. </w:t>
      </w:r>
    </w:p>
    <w:p w14:paraId="612E7071" w14:textId="0D337B5A" w:rsidR="00CB2975" w:rsidRPr="00A35914" w:rsidRDefault="00D76FEF" w:rsidP="00A35914">
      <w:pPr>
        <w:spacing w:line="252" w:lineRule="auto"/>
        <w:ind w:left="-284" w:right="-329"/>
        <w:rPr>
          <w:rFonts w:cstheme="minorHAnsi"/>
          <w:sz w:val="21"/>
          <w:szCs w:val="21"/>
        </w:rPr>
      </w:pPr>
      <w:r w:rsidRPr="00A35914">
        <w:rPr>
          <w:rFonts w:cstheme="minorHAnsi"/>
          <w:sz w:val="21"/>
          <w:szCs w:val="21"/>
          <w:lang w:val="en-US"/>
        </w:rPr>
        <w:t>A key challenge in health promotion is that ‘losing weight’ and ‘health’ goals for women are linked to appearance norms and thinness pressures in our culture.</w:t>
      </w:r>
      <w:r w:rsidR="00265ACC" w:rsidRPr="00A35914">
        <w:rPr>
          <w:rFonts w:cstheme="minorHAnsi"/>
          <w:sz w:val="21"/>
          <w:szCs w:val="21"/>
          <w:lang w:val="en-US"/>
        </w:rPr>
        <w:t xml:space="preserve"> </w:t>
      </w:r>
      <w:r w:rsidRPr="00A35914">
        <w:rPr>
          <w:rFonts w:cstheme="minorHAnsi"/>
          <w:sz w:val="21"/>
          <w:szCs w:val="21"/>
        </w:rPr>
        <w:t>Young women are more likely to report body image concerns than their male counterparts</w:t>
      </w:r>
      <w:r w:rsidR="00CB2975" w:rsidRPr="00A35914">
        <w:rPr>
          <w:rFonts w:cstheme="minorHAnsi"/>
          <w:sz w:val="21"/>
          <w:szCs w:val="21"/>
        </w:rPr>
        <w:t>.</w:t>
      </w:r>
      <w:r w:rsidRPr="00A35914">
        <w:rPr>
          <w:rStyle w:val="EndnoteReference"/>
          <w:rFonts w:cstheme="minorHAnsi"/>
          <w:sz w:val="21"/>
          <w:szCs w:val="21"/>
        </w:rPr>
        <w:endnoteReference w:id="17"/>
      </w:r>
      <w:r w:rsidRPr="00A35914">
        <w:rPr>
          <w:rFonts w:cstheme="minorHAnsi"/>
          <w:sz w:val="21"/>
          <w:szCs w:val="21"/>
        </w:rPr>
        <w:t xml:space="preserve"> </w:t>
      </w:r>
    </w:p>
    <w:p w14:paraId="4BDF0C3B" w14:textId="4BB31899" w:rsidR="00CB2975" w:rsidRPr="008166E5" w:rsidRDefault="00CB2975" w:rsidP="00A17430">
      <w:pPr>
        <w:spacing w:line="276" w:lineRule="auto"/>
        <w:ind w:left="-284" w:right="-330"/>
        <w:rPr>
          <w:rFonts w:cstheme="minorHAnsi"/>
          <w:b/>
          <w:u w:val="single"/>
        </w:rPr>
      </w:pPr>
      <w:r w:rsidRPr="008166E5">
        <w:rPr>
          <w:rFonts w:cstheme="minorHAnsi"/>
          <w:b/>
          <w:u w:val="single"/>
        </w:rPr>
        <w:t>Physical activity</w:t>
      </w:r>
    </w:p>
    <w:p w14:paraId="3BEFD656" w14:textId="5F7D7F21" w:rsidR="00D76FEF" w:rsidRPr="00A35914" w:rsidRDefault="004C7A20" w:rsidP="00A35914">
      <w:pPr>
        <w:spacing w:after="80" w:line="252" w:lineRule="auto"/>
        <w:ind w:left="-284" w:right="-329"/>
        <w:rPr>
          <w:rFonts w:cstheme="minorHAnsi"/>
          <w:sz w:val="21"/>
          <w:szCs w:val="21"/>
        </w:rPr>
      </w:pPr>
      <w:r>
        <w:rPr>
          <w:rFonts w:cstheme="minorHAnsi"/>
          <w:sz w:val="21"/>
          <w:szCs w:val="21"/>
        </w:rPr>
        <w:t>B</w:t>
      </w:r>
      <w:r w:rsidR="00D76FEF" w:rsidRPr="00A35914">
        <w:rPr>
          <w:rFonts w:cstheme="minorHAnsi"/>
          <w:sz w:val="21"/>
          <w:szCs w:val="21"/>
        </w:rPr>
        <w:t xml:space="preserve">arriers to regular physical activity for women and girls need to be addressed </w:t>
      </w:r>
      <w:r w:rsidR="00A17430" w:rsidRPr="00A35914">
        <w:rPr>
          <w:rFonts w:cstheme="minorHAnsi"/>
          <w:sz w:val="21"/>
          <w:szCs w:val="21"/>
        </w:rPr>
        <w:t xml:space="preserve">in the strategy </w:t>
      </w:r>
      <w:r w:rsidR="00D76FEF" w:rsidRPr="00A35914">
        <w:rPr>
          <w:rFonts w:cstheme="minorHAnsi"/>
          <w:sz w:val="21"/>
          <w:szCs w:val="21"/>
        </w:rPr>
        <w:t>including</w:t>
      </w:r>
      <w:r w:rsidR="00045796" w:rsidRPr="00A35914">
        <w:rPr>
          <w:rFonts w:cstheme="minorHAnsi"/>
          <w:sz w:val="21"/>
          <w:szCs w:val="21"/>
        </w:rPr>
        <w:t>:</w:t>
      </w:r>
    </w:p>
    <w:p w14:paraId="7AFE748F" w14:textId="4536DF4F" w:rsidR="00D76FEF" w:rsidRPr="00A35914" w:rsidRDefault="00D76FEF" w:rsidP="00A35914">
      <w:pPr>
        <w:pStyle w:val="ListParagraph"/>
        <w:numPr>
          <w:ilvl w:val="0"/>
          <w:numId w:val="7"/>
        </w:numPr>
        <w:spacing w:after="80" w:line="252" w:lineRule="auto"/>
        <w:ind w:left="142" w:right="-329" w:hanging="284"/>
        <w:contextualSpacing w:val="0"/>
        <w:rPr>
          <w:rFonts w:cstheme="minorHAnsi"/>
          <w:sz w:val="21"/>
          <w:szCs w:val="21"/>
        </w:rPr>
      </w:pPr>
      <w:r w:rsidRPr="00A35914">
        <w:rPr>
          <w:rFonts w:cstheme="minorHAnsi"/>
          <w:sz w:val="21"/>
          <w:szCs w:val="21"/>
        </w:rPr>
        <w:t xml:space="preserve">Concern about the presence of males when exercising and </w:t>
      </w:r>
      <w:r w:rsidRPr="00A35914">
        <w:rPr>
          <w:rFonts w:cstheme="minorHAnsi"/>
          <w:b/>
          <w:sz w:val="21"/>
          <w:szCs w:val="21"/>
        </w:rPr>
        <w:t>worry about being judged, humiliated and harassed</w:t>
      </w:r>
      <w:r w:rsidRPr="00A35914">
        <w:rPr>
          <w:rFonts w:cstheme="minorHAnsi"/>
          <w:sz w:val="21"/>
          <w:szCs w:val="21"/>
        </w:rPr>
        <w:t>.</w:t>
      </w:r>
      <w:r w:rsidRPr="00A35914">
        <w:rPr>
          <w:rFonts w:cstheme="minorHAnsi"/>
          <w:sz w:val="21"/>
          <w:szCs w:val="21"/>
          <w:vertAlign w:val="superscript"/>
        </w:rPr>
        <w:endnoteReference w:id="18"/>
      </w:r>
      <w:r w:rsidRPr="00A35914">
        <w:rPr>
          <w:rFonts w:cstheme="minorHAnsi"/>
          <w:sz w:val="21"/>
          <w:szCs w:val="21"/>
        </w:rPr>
        <w:t xml:space="preserve">  </w:t>
      </w:r>
    </w:p>
    <w:p w14:paraId="0ECA918E" w14:textId="7869D1A8" w:rsidR="00D76FEF" w:rsidRPr="00A35914" w:rsidRDefault="00AB3F09" w:rsidP="00A35914">
      <w:pPr>
        <w:pStyle w:val="ListParagraph"/>
        <w:numPr>
          <w:ilvl w:val="0"/>
          <w:numId w:val="5"/>
        </w:numPr>
        <w:spacing w:after="80" w:line="252" w:lineRule="auto"/>
        <w:ind w:left="142" w:right="-329" w:hanging="284"/>
        <w:contextualSpacing w:val="0"/>
        <w:rPr>
          <w:rFonts w:cstheme="minorHAnsi"/>
          <w:sz w:val="21"/>
          <w:szCs w:val="21"/>
        </w:rPr>
      </w:pPr>
      <w:r w:rsidRPr="00A35914">
        <w:rPr>
          <w:rFonts w:cstheme="minorHAnsi"/>
          <w:sz w:val="21"/>
          <w:szCs w:val="21"/>
        </w:rPr>
        <w:t>A</w:t>
      </w:r>
      <w:r w:rsidR="00D76FEF" w:rsidRPr="00A35914">
        <w:rPr>
          <w:rFonts w:cstheme="minorHAnsi"/>
          <w:sz w:val="21"/>
          <w:szCs w:val="21"/>
        </w:rPr>
        <w:t xml:space="preserve"> </w:t>
      </w:r>
      <w:r w:rsidRPr="00A35914">
        <w:rPr>
          <w:rFonts w:cstheme="minorHAnsi"/>
          <w:sz w:val="21"/>
          <w:szCs w:val="21"/>
        </w:rPr>
        <w:t xml:space="preserve">reduction in young women’s interest and confidence in physical activity in adolescence due to </w:t>
      </w:r>
      <w:r w:rsidR="00D76FEF" w:rsidRPr="00A35914">
        <w:rPr>
          <w:rFonts w:cstheme="minorHAnsi"/>
          <w:sz w:val="21"/>
          <w:szCs w:val="21"/>
        </w:rPr>
        <w:t xml:space="preserve">combination of </w:t>
      </w:r>
      <w:r w:rsidR="00D76FEF" w:rsidRPr="00A35914">
        <w:rPr>
          <w:rFonts w:cstheme="minorHAnsi"/>
          <w:b/>
          <w:sz w:val="21"/>
          <w:szCs w:val="21"/>
        </w:rPr>
        <w:t>puberty, body image concerns and gender norms</w:t>
      </w:r>
      <w:r w:rsidR="00D76FEF" w:rsidRPr="00A35914">
        <w:rPr>
          <w:rFonts w:cstheme="minorHAnsi"/>
          <w:sz w:val="21"/>
          <w:szCs w:val="21"/>
        </w:rPr>
        <w:t>.</w:t>
      </w:r>
      <w:r w:rsidR="00D76FEF" w:rsidRPr="00A35914">
        <w:rPr>
          <w:rStyle w:val="EndnoteReference"/>
          <w:rFonts w:cstheme="minorHAnsi"/>
          <w:sz w:val="21"/>
          <w:szCs w:val="21"/>
        </w:rPr>
        <w:endnoteReference w:id="19"/>
      </w:r>
      <w:r w:rsidR="00D76FEF" w:rsidRPr="00A35914">
        <w:rPr>
          <w:rFonts w:cstheme="minorHAnsi"/>
          <w:sz w:val="21"/>
          <w:szCs w:val="21"/>
        </w:rPr>
        <w:t xml:space="preserve"> </w:t>
      </w:r>
    </w:p>
    <w:p w14:paraId="354BD089" w14:textId="2CD1E62B" w:rsidR="00905C27" w:rsidRPr="00A35914" w:rsidRDefault="00D76FEF" w:rsidP="00A35914">
      <w:pPr>
        <w:pStyle w:val="ListParagraph"/>
        <w:numPr>
          <w:ilvl w:val="0"/>
          <w:numId w:val="5"/>
        </w:numPr>
        <w:spacing w:after="80" w:line="252" w:lineRule="auto"/>
        <w:ind w:left="142" w:right="-329" w:hanging="284"/>
        <w:contextualSpacing w:val="0"/>
        <w:rPr>
          <w:rFonts w:cstheme="minorHAnsi"/>
          <w:sz w:val="21"/>
          <w:szCs w:val="21"/>
        </w:rPr>
      </w:pPr>
      <w:r w:rsidRPr="00A35914">
        <w:rPr>
          <w:rFonts w:cstheme="minorHAnsi"/>
          <w:sz w:val="21"/>
          <w:szCs w:val="21"/>
        </w:rPr>
        <w:t>Parental</w:t>
      </w:r>
      <w:r w:rsidR="00CB2975" w:rsidRPr="00A35914">
        <w:rPr>
          <w:rFonts w:cstheme="minorHAnsi"/>
          <w:sz w:val="21"/>
          <w:szCs w:val="21"/>
        </w:rPr>
        <w:t xml:space="preserve"> and individual</w:t>
      </w:r>
      <w:r w:rsidRPr="00A35914">
        <w:rPr>
          <w:rFonts w:cstheme="minorHAnsi"/>
          <w:sz w:val="21"/>
          <w:szCs w:val="21"/>
        </w:rPr>
        <w:t xml:space="preserve"> </w:t>
      </w:r>
      <w:r w:rsidRPr="00A35914">
        <w:rPr>
          <w:rFonts w:cstheme="minorHAnsi"/>
          <w:b/>
          <w:sz w:val="21"/>
          <w:szCs w:val="21"/>
        </w:rPr>
        <w:t>perceptions of safety</w:t>
      </w:r>
      <w:r w:rsidRPr="00A35914">
        <w:rPr>
          <w:rFonts w:cstheme="minorHAnsi"/>
          <w:sz w:val="21"/>
          <w:szCs w:val="21"/>
        </w:rPr>
        <w:t xml:space="preserve"> influence participation in active play. Girls are less likely than boys to report that their parents let them walk or ride to </w:t>
      </w:r>
      <w:proofErr w:type="gramStart"/>
      <w:r w:rsidRPr="00A35914">
        <w:rPr>
          <w:rFonts w:cstheme="minorHAnsi"/>
          <w:sz w:val="21"/>
          <w:szCs w:val="21"/>
        </w:rPr>
        <w:t>places, or</w:t>
      </w:r>
      <w:proofErr w:type="gramEnd"/>
      <w:r w:rsidRPr="00A35914">
        <w:rPr>
          <w:rFonts w:cstheme="minorHAnsi"/>
          <w:sz w:val="21"/>
          <w:szCs w:val="21"/>
        </w:rPr>
        <w:t xml:space="preserve"> visit local parks on their own.</w:t>
      </w:r>
      <w:r w:rsidRPr="00A35914">
        <w:rPr>
          <w:rStyle w:val="EndnoteReference"/>
          <w:rFonts w:cstheme="minorHAnsi"/>
          <w:sz w:val="21"/>
          <w:szCs w:val="21"/>
        </w:rPr>
        <w:endnoteReference w:id="20"/>
      </w:r>
      <w:r w:rsidR="00CB2975" w:rsidRPr="00A35914">
        <w:rPr>
          <w:rFonts w:cstheme="minorHAnsi"/>
          <w:sz w:val="21"/>
          <w:szCs w:val="21"/>
        </w:rPr>
        <w:t xml:space="preserve"> Feeling unsafe in your neighbourhood also limits women’s participation in community life. </w:t>
      </w:r>
      <w:r w:rsidRPr="00A35914">
        <w:rPr>
          <w:rFonts w:cstheme="minorHAnsi"/>
          <w:sz w:val="21"/>
          <w:szCs w:val="21"/>
        </w:rPr>
        <w:t xml:space="preserve">The </w:t>
      </w:r>
      <w:hyperlink r:id="rId12" w:anchor="!/atlas/Violence%20Against%20Women/V/Perceptions%20Of%20Safety/V_01/2015%20%25%20People%20who%20feel%20safe%20when%20walking%20alone%20at%20night/143/F/state/all/false" w:history="1">
        <w:r w:rsidRPr="004E6386">
          <w:rPr>
            <w:rStyle w:val="Hyperlink"/>
            <w:rFonts w:cstheme="minorHAnsi"/>
            <w:sz w:val="21"/>
            <w:szCs w:val="21"/>
          </w:rPr>
          <w:t>Victorian Women’s Health Atlas</w:t>
        </w:r>
      </w:hyperlink>
      <w:r w:rsidRPr="00A35914">
        <w:rPr>
          <w:rFonts w:cstheme="minorHAnsi"/>
          <w:sz w:val="21"/>
          <w:szCs w:val="21"/>
        </w:rPr>
        <w:t xml:space="preserve"> shows a large discrepancy between male and female perceptions of safety in their local area.</w:t>
      </w:r>
      <w:r w:rsidRPr="00A35914">
        <w:rPr>
          <w:rStyle w:val="EndnoteReference"/>
          <w:rFonts w:cstheme="minorHAnsi"/>
          <w:sz w:val="21"/>
          <w:szCs w:val="21"/>
        </w:rPr>
        <w:endnoteReference w:id="21"/>
      </w:r>
    </w:p>
    <w:p w14:paraId="532AA73A" w14:textId="65E406A6" w:rsidR="00D76FEF" w:rsidRPr="00A35914" w:rsidRDefault="00D76FEF" w:rsidP="00A35914">
      <w:pPr>
        <w:pStyle w:val="ListParagraph"/>
        <w:numPr>
          <w:ilvl w:val="0"/>
          <w:numId w:val="5"/>
        </w:numPr>
        <w:spacing w:after="120" w:line="252" w:lineRule="auto"/>
        <w:ind w:left="142" w:right="-329" w:hanging="284"/>
        <w:contextualSpacing w:val="0"/>
        <w:rPr>
          <w:rFonts w:cstheme="minorHAnsi"/>
          <w:sz w:val="21"/>
          <w:szCs w:val="21"/>
        </w:rPr>
      </w:pPr>
      <w:r w:rsidRPr="00A35914">
        <w:rPr>
          <w:rFonts w:cstheme="minorHAnsi"/>
          <w:b/>
          <w:sz w:val="21"/>
          <w:szCs w:val="21"/>
        </w:rPr>
        <w:t>Time pressure</w:t>
      </w:r>
      <w:r w:rsidR="00045796" w:rsidRPr="00A35914">
        <w:rPr>
          <w:rFonts w:cstheme="minorHAnsi"/>
          <w:sz w:val="21"/>
          <w:szCs w:val="21"/>
        </w:rPr>
        <w:t xml:space="preserve"> is common among </w:t>
      </w:r>
      <w:r w:rsidR="00CB2975" w:rsidRPr="00A35914">
        <w:rPr>
          <w:rFonts w:cstheme="minorHAnsi"/>
          <w:sz w:val="21"/>
          <w:szCs w:val="21"/>
        </w:rPr>
        <w:t xml:space="preserve">Australian </w:t>
      </w:r>
      <w:r w:rsidR="00045796" w:rsidRPr="00A35914">
        <w:rPr>
          <w:rFonts w:cstheme="minorHAnsi"/>
          <w:sz w:val="21"/>
          <w:szCs w:val="21"/>
        </w:rPr>
        <w:t>women and negatively influences diet, eating habits and physical activity.</w:t>
      </w:r>
      <w:r w:rsidR="00CB2975" w:rsidRPr="00A35914">
        <w:rPr>
          <w:rStyle w:val="EndnoteReference"/>
          <w:rFonts w:cstheme="minorHAnsi"/>
          <w:sz w:val="21"/>
          <w:szCs w:val="21"/>
        </w:rPr>
        <w:t xml:space="preserve"> </w:t>
      </w:r>
      <w:r w:rsidR="00CB2975" w:rsidRPr="00A35914">
        <w:rPr>
          <w:rStyle w:val="EndnoteReference"/>
          <w:rFonts w:cstheme="minorHAnsi"/>
          <w:sz w:val="21"/>
          <w:szCs w:val="21"/>
        </w:rPr>
        <w:endnoteReference w:id="22"/>
      </w:r>
      <w:r w:rsidR="00A17430" w:rsidRPr="00A35914">
        <w:rPr>
          <w:rStyle w:val="EndnoteReference"/>
          <w:rFonts w:cstheme="minorHAnsi"/>
          <w:sz w:val="21"/>
          <w:szCs w:val="21"/>
        </w:rPr>
        <w:t xml:space="preserve"> </w:t>
      </w:r>
      <w:r w:rsidRPr="00A35914">
        <w:rPr>
          <w:rFonts w:cstheme="minorHAnsi"/>
          <w:sz w:val="21"/>
          <w:szCs w:val="21"/>
        </w:rPr>
        <w:t>Understanding the sources of time pressure, particularly on women who are mothers</w:t>
      </w:r>
      <w:r w:rsidR="00E83B1A">
        <w:rPr>
          <w:rFonts w:cstheme="minorHAnsi"/>
          <w:sz w:val="21"/>
          <w:szCs w:val="21"/>
        </w:rPr>
        <w:t xml:space="preserve"> and carers</w:t>
      </w:r>
      <w:r w:rsidRPr="00A35914">
        <w:rPr>
          <w:rFonts w:cstheme="minorHAnsi"/>
          <w:sz w:val="21"/>
          <w:szCs w:val="21"/>
        </w:rPr>
        <w:t xml:space="preserve">, is important if policy-makers are to implement successful health policies, including recommendations for physical activity and preparation and consumption of healthy meals. </w:t>
      </w:r>
    </w:p>
    <w:p w14:paraId="3CA41BAB" w14:textId="473675BA" w:rsidR="008166E5" w:rsidRPr="00A35914" w:rsidRDefault="008166E5" w:rsidP="00A35914">
      <w:pPr>
        <w:spacing w:after="120" w:line="252" w:lineRule="auto"/>
        <w:ind w:left="-284" w:right="-329"/>
        <w:rPr>
          <w:rFonts w:cstheme="minorHAnsi"/>
          <w:sz w:val="21"/>
          <w:szCs w:val="21"/>
        </w:rPr>
      </w:pPr>
      <w:r w:rsidRPr="00A35914">
        <w:rPr>
          <w:rFonts w:cstheme="minorHAnsi"/>
          <w:sz w:val="21"/>
          <w:szCs w:val="21"/>
        </w:rPr>
        <w:t>The</w:t>
      </w:r>
      <w:r w:rsidR="00AB3F09" w:rsidRPr="00A35914">
        <w:rPr>
          <w:rFonts w:cstheme="minorHAnsi"/>
          <w:sz w:val="21"/>
          <w:szCs w:val="21"/>
        </w:rPr>
        <w:t xml:space="preserve"> strategy must address these barriers to the participation of women and girls in healthy behaviours.</w:t>
      </w:r>
      <w:r w:rsidR="004C7A20">
        <w:rPr>
          <w:rFonts w:cstheme="minorHAnsi"/>
          <w:sz w:val="21"/>
          <w:szCs w:val="21"/>
        </w:rPr>
        <w:t xml:space="preserve"> VicHealth’s </w:t>
      </w:r>
      <w:r w:rsidR="004C7A20">
        <w:rPr>
          <w:rFonts w:cstheme="minorHAnsi"/>
          <w:i/>
          <w:sz w:val="21"/>
          <w:szCs w:val="21"/>
        </w:rPr>
        <w:t>This Girl Can</w:t>
      </w:r>
      <w:r w:rsidR="004C7A20">
        <w:rPr>
          <w:rFonts w:cstheme="minorHAnsi"/>
          <w:sz w:val="21"/>
          <w:szCs w:val="21"/>
        </w:rPr>
        <w:t xml:space="preserve"> campaign is an example of an effective initiative addressing the barriers to women’s participation in physical activity.</w:t>
      </w:r>
      <w:r w:rsidR="004E6386">
        <w:rPr>
          <w:rStyle w:val="EndnoteReference"/>
          <w:rFonts w:cstheme="minorHAnsi"/>
          <w:sz w:val="21"/>
          <w:szCs w:val="21"/>
        </w:rPr>
        <w:endnoteReference w:id="23"/>
      </w:r>
    </w:p>
    <w:p w14:paraId="265E4E1A" w14:textId="77777777" w:rsidR="00D76FEF" w:rsidRPr="008166E5" w:rsidRDefault="00D76FEF" w:rsidP="00A35914">
      <w:pPr>
        <w:spacing w:after="120" w:line="276" w:lineRule="auto"/>
        <w:ind w:left="-284" w:right="-330"/>
        <w:rPr>
          <w:rFonts w:cstheme="minorHAnsi"/>
          <w:b/>
          <w:u w:val="single"/>
        </w:rPr>
      </w:pPr>
      <w:r w:rsidRPr="008166E5">
        <w:rPr>
          <w:rFonts w:cstheme="minorHAnsi"/>
          <w:b/>
          <w:u w:val="single"/>
        </w:rPr>
        <w:t>Breastfeeding</w:t>
      </w:r>
    </w:p>
    <w:p w14:paraId="35C46D1E" w14:textId="2ADD31F3" w:rsidR="00CB2975" w:rsidRPr="00A35914" w:rsidRDefault="00D76FEF" w:rsidP="00A35914">
      <w:pPr>
        <w:spacing w:after="80" w:line="276" w:lineRule="auto"/>
        <w:ind w:left="-284" w:right="-330"/>
        <w:rPr>
          <w:rFonts w:cstheme="minorHAnsi"/>
          <w:sz w:val="21"/>
          <w:szCs w:val="21"/>
        </w:rPr>
      </w:pPr>
      <w:r w:rsidRPr="00A35914">
        <w:rPr>
          <w:rFonts w:cstheme="minorHAnsi"/>
          <w:sz w:val="21"/>
          <w:szCs w:val="21"/>
        </w:rPr>
        <w:t>The</w:t>
      </w:r>
      <w:r w:rsidR="008204A5">
        <w:rPr>
          <w:rFonts w:cstheme="minorHAnsi"/>
          <w:sz w:val="21"/>
          <w:szCs w:val="21"/>
        </w:rPr>
        <w:t xml:space="preserve"> proposed</w:t>
      </w:r>
      <w:r w:rsidRPr="00A35914">
        <w:rPr>
          <w:rFonts w:cstheme="minorHAnsi"/>
          <w:sz w:val="21"/>
          <w:szCs w:val="21"/>
        </w:rPr>
        <w:t xml:space="preserve"> strategy recommends supporting mothers to exclusively breastfeed for six months, </w:t>
      </w:r>
      <w:r w:rsidR="003C3634" w:rsidRPr="00A35914">
        <w:rPr>
          <w:rFonts w:cstheme="minorHAnsi"/>
          <w:sz w:val="21"/>
          <w:szCs w:val="21"/>
        </w:rPr>
        <w:t>but</w:t>
      </w:r>
      <w:r w:rsidRPr="00A35914">
        <w:rPr>
          <w:rFonts w:cstheme="minorHAnsi"/>
          <w:sz w:val="21"/>
          <w:szCs w:val="21"/>
        </w:rPr>
        <w:t xml:space="preserve"> this will not always be realistic or possible. </w:t>
      </w:r>
      <w:r w:rsidR="008166E5" w:rsidRPr="00A35914">
        <w:rPr>
          <w:rFonts w:cstheme="minorHAnsi"/>
          <w:sz w:val="21"/>
          <w:szCs w:val="21"/>
        </w:rPr>
        <w:t>Currently, many mothers do not receive adequate social and structural support to facilitate exclusive breastfeeding for 6 months.</w:t>
      </w:r>
      <w:r w:rsidR="004E6386">
        <w:rPr>
          <w:rFonts w:cstheme="minorHAnsi"/>
          <w:sz w:val="21"/>
          <w:szCs w:val="21"/>
        </w:rPr>
        <w:t xml:space="preserve"> Breastfeeding is a learned behaviour and not all mothers or their babies are able to breastfeed.</w:t>
      </w:r>
    </w:p>
    <w:p w14:paraId="5DCAF168" w14:textId="77777777" w:rsidR="00CB2975" w:rsidRPr="00A35914" w:rsidRDefault="00D76FEF" w:rsidP="00A35914">
      <w:pPr>
        <w:pStyle w:val="ListParagraph"/>
        <w:numPr>
          <w:ilvl w:val="0"/>
          <w:numId w:val="11"/>
        </w:numPr>
        <w:spacing w:after="80" w:line="276" w:lineRule="auto"/>
        <w:ind w:left="142" w:right="-329" w:hanging="284"/>
        <w:contextualSpacing w:val="0"/>
        <w:rPr>
          <w:rFonts w:cstheme="minorHAnsi"/>
          <w:sz w:val="21"/>
          <w:szCs w:val="21"/>
        </w:rPr>
      </w:pPr>
      <w:r w:rsidRPr="00A35914">
        <w:rPr>
          <w:rFonts w:cstheme="minorHAnsi"/>
          <w:sz w:val="21"/>
          <w:szCs w:val="21"/>
          <w:lang w:val="en-US"/>
        </w:rPr>
        <w:t xml:space="preserve">The pressure to breastfeed can impact the mental health of new </w:t>
      </w:r>
      <w:proofErr w:type="gramStart"/>
      <w:r w:rsidRPr="00A35914">
        <w:rPr>
          <w:rFonts w:cstheme="minorHAnsi"/>
          <w:sz w:val="21"/>
          <w:szCs w:val="21"/>
          <w:lang w:val="en-US"/>
        </w:rPr>
        <w:t>mothers, and</w:t>
      </w:r>
      <w:proofErr w:type="gramEnd"/>
      <w:r w:rsidRPr="00A35914">
        <w:rPr>
          <w:rFonts w:cstheme="minorHAnsi"/>
          <w:sz w:val="21"/>
          <w:szCs w:val="21"/>
          <w:lang w:val="en-US"/>
        </w:rPr>
        <w:t xml:space="preserve"> make those who cannot breastfeed feel as though they have failed.</w:t>
      </w:r>
      <w:r w:rsidRPr="00A35914">
        <w:rPr>
          <w:rStyle w:val="EndnoteReference"/>
          <w:rFonts w:cstheme="minorHAnsi"/>
          <w:sz w:val="21"/>
          <w:szCs w:val="21"/>
          <w:lang w:val="en-US"/>
        </w:rPr>
        <w:endnoteReference w:id="24"/>
      </w:r>
      <w:r w:rsidRPr="00A35914">
        <w:rPr>
          <w:rFonts w:cstheme="minorHAnsi"/>
          <w:sz w:val="21"/>
          <w:szCs w:val="21"/>
        </w:rPr>
        <w:t xml:space="preserve"> </w:t>
      </w:r>
    </w:p>
    <w:p w14:paraId="10119973" w14:textId="77777777" w:rsidR="00CB2975" w:rsidRPr="00A35914" w:rsidRDefault="00D76FEF" w:rsidP="00A35914">
      <w:pPr>
        <w:pStyle w:val="ListParagraph"/>
        <w:numPr>
          <w:ilvl w:val="0"/>
          <w:numId w:val="11"/>
        </w:numPr>
        <w:spacing w:after="80" w:line="276" w:lineRule="auto"/>
        <w:ind w:left="142" w:right="-329" w:hanging="284"/>
        <w:contextualSpacing w:val="0"/>
        <w:rPr>
          <w:rFonts w:cstheme="minorHAnsi"/>
          <w:sz w:val="21"/>
          <w:szCs w:val="21"/>
        </w:rPr>
      </w:pPr>
      <w:r w:rsidRPr="00A35914">
        <w:rPr>
          <w:rFonts w:cstheme="minorHAnsi"/>
          <w:sz w:val="21"/>
          <w:szCs w:val="21"/>
        </w:rPr>
        <w:t>After giving birth, women report a lack of breastfeeding support and are increasingly sent home from hospital before their milk comes in.</w:t>
      </w:r>
      <w:r w:rsidRPr="00A35914">
        <w:rPr>
          <w:rStyle w:val="EndnoteReference"/>
          <w:rFonts w:cstheme="minorHAnsi"/>
          <w:sz w:val="21"/>
          <w:szCs w:val="21"/>
        </w:rPr>
        <w:endnoteReference w:id="25"/>
      </w:r>
      <w:r w:rsidRPr="00A35914">
        <w:rPr>
          <w:rFonts w:cstheme="minorHAnsi"/>
          <w:sz w:val="21"/>
          <w:szCs w:val="21"/>
        </w:rPr>
        <w:t xml:space="preserve"> </w:t>
      </w:r>
    </w:p>
    <w:p w14:paraId="1661ED13" w14:textId="120A664D" w:rsidR="008166E5" w:rsidRPr="00A35914" w:rsidRDefault="00D76FEF" w:rsidP="00A35914">
      <w:pPr>
        <w:pStyle w:val="ListParagraph"/>
        <w:numPr>
          <w:ilvl w:val="0"/>
          <w:numId w:val="11"/>
        </w:numPr>
        <w:spacing w:after="80" w:line="276" w:lineRule="auto"/>
        <w:ind w:left="142" w:right="-329" w:hanging="284"/>
        <w:contextualSpacing w:val="0"/>
        <w:rPr>
          <w:rFonts w:cstheme="minorHAnsi"/>
          <w:sz w:val="21"/>
          <w:szCs w:val="21"/>
        </w:rPr>
      </w:pPr>
      <w:r w:rsidRPr="00A35914">
        <w:rPr>
          <w:rFonts w:cstheme="minorHAnsi"/>
          <w:sz w:val="21"/>
          <w:szCs w:val="21"/>
        </w:rPr>
        <w:t>Women in larger bodies report breastfeeding for shorter periods of time than their smaller counterparts due in part to body image concerns.</w:t>
      </w:r>
      <w:r w:rsidRPr="00A35914">
        <w:rPr>
          <w:rStyle w:val="EndnoteReference"/>
          <w:rFonts w:cstheme="minorHAnsi"/>
          <w:sz w:val="21"/>
          <w:szCs w:val="21"/>
        </w:rPr>
        <w:endnoteReference w:id="26"/>
      </w:r>
    </w:p>
    <w:p w14:paraId="0EBE621E" w14:textId="60CB2D90" w:rsidR="008166E5" w:rsidRPr="00A35914" w:rsidRDefault="00AB3F09" w:rsidP="00A35914">
      <w:pPr>
        <w:spacing w:after="120" w:line="276" w:lineRule="auto"/>
        <w:ind w:left="-284" w:right="-330"/>
        <w:rPr>
          <w:rFonts w:cstheme="minorHAnsi"/>
          <w:sz w:val="21"/>
          <w:szCs w:val="21"/>
        </w:rPr>
      </w:pPr>
      <w:r w:rsidRPr="00A35914">
        <w:rPr>
          <w:rFonts w:cstheme="minorHAnsi"/>
          <w:sz w:val="21"/>
          <w:szCs w:val="21"/>
        </w:rPr>
        <w:t xml:space="preserve">Any </w:t>
      </w:r>
      <w:r w:rsidR="008166E5" w:rsidRPr="00A35914">
        <w:rPr>
          <w:rFonts w:cstheme="minorHAnsi"/>
          <w:sz w:val="21"/>
          <w:szCs w:val="21"/>
        </w:rPr>
        <w:t>recommend</w:t>
      </w:r>
      <w:r w:rsidRPr="00A35914">
        <w:rPr>
          <w:rFonts w:cstheme="minorHAnsi"/>
          <w:sz w:val="21"/>
          <w:szCs w:val="21"/>
        </w:rPr>
        <w:t>ation to promote</w:t>
      </w:r>
      <w:r w:rsidR="008166E5" w:rsidRPr="00A35914">
        <w:rPr>
          <w:rFonts w:cstheme="minorHAnsi"/>
          <w:sz w:val="21"/>
          <w:szCs w:val="21"/>
        </w:rPr>
        <w:t xml:space="preserve"> exclusive breastfeeding for 6 months</w:t>
      </w:r>
      <w:r w:rsidRPr="00A35914">
        <w:rPr>
          <w:rFonts w:cstheme="minorHAnsi"/>
          <w:sz w:val="21"/>
          <w:szCs w:val="21"/>
        </w:rPr>
        <w:t xml:space="preserve"> must </w:t>
      </w:r>
      <w:r w:rsidR="008166E5" w:rsidRPr="00A35914">
        <w:rPr>
          <w:rFonts w:cstheme="minorHAnsi"/>
          <w:sz w:val="21"/>
          <w:szCs w:val="21"/>
        </w:rPr>
        <w:t xml:space="preserve">be accompanied by investment in initiatives to significantly increase breastfeeding support, with a </w:t>
      </w:r>
      <w:proofErr w:type="gramStart"/>
      <w:r w:rsidR="008166E5" w:rsidRPr="00A35914">
        <w:rPr>
          <w:rFonts w:cstheme="minorHAnsi"/>
          <w:sz w:val="21"/>
          <w:szCs w:val="21"/>
        </w:rPr>
        <w:t>particular focus</w:t>
      </w:r>
      <w:proofErr w:type="gramEnd"/>
      <w:r w:rsidR="008166E5" w:rsidRPr="00A35914">
        <w:rPr>
          <w:rFonts w:cstheme="minorHAnsi"/>
          <w:sz w:val="21"/>
          <w:szCs w:val="21"/>
        </w:rPr>
        <w:t xml:space="preserve"> on women in </w:t>
      </w:r>
      <w:r w:rsidRPr="00A35914">
        <w:rPr>
          <w:rFonts w:cstheme="minorHAnsi"/>
          <w:sz w:val="21"/>
          <w:szCs w:val="21"/>
        </w:rPr>
        <w:t>bigger</w:t>
      </w:r>
      <w:r w:rsidR="008166E5" w:rsidRPr="00A35914">
        <w:rPr>
          <w:rFonts w:cstheme="minorHAnsi"/>
          <w:sz w:val="21"/>
          <w:szCs w:val="21"/>
        </w:rPr>
        <w:t xml:space="preserve"> bodies.</w:t>
      </w:r>
      <w:r w:rsidR="008204A5">
        <w:rPr>
          <w:rFonts w:cstheme="minorHAnsi"/>
          <w:sz w:val="21"/>
          <w:szCs w:val="21"/>
        </w:rPr>
        <w:t xml:space="preserve"> While we </w:t>
      </w:r>
      <w:r w:rsidR="0062640F">
        <w:rPr>
          <w:rFonts w:cstheme="minorHAnsi"/>
          <w:sz w:val="21"/>
          <w:szCs w:val="21"/>
        </w:rPr>
        <w:t>support policy efforts to limit the aggressive marketing of infant formula, we caution against limiting availability.</w:t>
      </w:r>
    </w:p>
    <w:p w14:paraId="5B0C2703" w14:textId="2FE03156" w:rsidR="00D76FEF" w:rsidRPr="008166E5" w:rsidRDefault="00D76FEF" w:rsidP="00A35914">
      <w:pPr>
        <w:spacing w:after="120" w:line="276" w:lineRule="auto"/>
        <w:ind w:left="-284" w:right="-330"/>
        <w:rPr>
          <w:rFonts w:cstheme="minorHAnsi"/>
          <w:b/>
          <w:u w:val="single"/>
        </w:rPr>
      </w:pPr>
      <w:r w:rsidRPr="008166E5">
        <w:rPr>
          <w:rFonts w:cstheme="minorHAnsi"/>
          <w:b/>
          <w:u w:val="single"/>
        </w:rPr>
        <w:t>Income</w:t>
      </w:r>
      <w:r w:rsidR="00AB3F09">
        <w:rPr>
          <w:rFonts w:cstheme="minorHAnsi"/>
          <w:b/>
          <w:u w:val="single"/>
        </w:rPr>
        <w:t xml:space="preserve"> inequality</w:t>
      </w:r>
    </w:p>
    <w:p w14:paraId="7C419479" w14:textId="271FA49F" w:rsidR="00D76FEF" w:rsidRPr="00A35914" w:rsidRDefault="00D76FEF" w:rsidP="00A35914">
      <w:pPr>
        <w:spacing w:after="80" w:line="276" w:lineRule="auto"/>
        <w:ind w:left="-284" w:right="-329"/>
        <w:rPr>
          <w:rFonts w:cstheme="minorHAnsi"/>
          <w:sz w:val="21"/>
          <w:szCs w:val="21"/>
        </w:rPr>
      </w:pPr>
      <w:r w:rsidRPr="00A35914">
        <w:rPr>
          <w:rFonts w:cstheme="minorHAnsi"/>
          <w:sz w:val="21"/>
          <w:szCs w:val="21"/>
        </w:rPr>
        <w:t xml:space="preserve">The adequacy of </w:t>
      </w:r>
      <w:r w:rsidR="003C3634" w:rsidRPr="00A35914">
        <w:rPr>
          <w:rFonts w:cstheme="minorHAnsi"/>
          <w:sz w:val="21"/>
          <w:szCs w:val="21"/>
        </w:rPr>
        <w:t>income support</w:t>
      </w:r>
      <w:r w:rsidRPr="00A35914">
        <w:rPr>
          <w:rFonts w:cstheme="minorHAnsi"/>
          <w:sz w:val="21"/>
          <w:szCs w:val="21"/>
        </w:rPr>
        <w:t xml:space="preserve"> is a key issue in tackling inequities in dietary behaviours. </w:t>
      </w:r>
    </w:p>
    <w:p w14:paraId="369A053E" w14:textId="2E08CC69" w:rsidR="00265ACC" w:rsidRPr="00A35914" w:rsidRDefault="00D76FEF" w:rsidP="00A35914">
      <w:pPr>
        <w:pStyle w:val="ListParagraph"/>
        <w:numPr>
          <w:ilvl w:val="0"/>
          <w:numId w:val="12"/>
        </w:numPr>
        <w:spacing w:after="80" w:line="276" w:lineRule="auto"/>
        <w:ind w:left="142" w:right="-329" w:hanging="284"/>
        <w:contextualSpacing w:val="0"/>
        <w:rPr>
          <w:rFonts w:eastAsia="Calibri" w:cstheme="minorHAnsi"/>
          <w:sz w:val="21"/>
          <w:szCs w:val="21"/>
        </w:rPr>
      </w:pPr>
      <w:r w:rsidRPr="00A35914">
        <w:rPr>
          <w:rFonts w:cstheme="minorHAnsi"/>
          <w:sz w:val="21"/>
          <w:szCs w:val="21"/>
        </w:rPr>
        <w:t>Unemployment benefits in Australia have declined steadily compared to other benefits and cost of living.</w:t>
      </w:r>
      <w:r w:rsidR="00905C27" w:rsidRPr="00A35914">
        <w:rPr>
          <w:rFonts w:cstheme="minorHAnsi"/>
          <w:sz w:val="21"/>
          <w:szCs w:val="21"/>
        </w:rPr>
        <w:t xml:space="preserve"> </w:t>
      </w:r>
    </w:p>
    <w:p w14:paraId="3452B90D" w14:textId="0A989DD3" w:rsidR="00265ACC" w:rsidRPr="00A35914" w:rsidRDefault="00D76FEF" w:rsidP="00A35914">
      <w:pPr>
        <w:pStyle w:val="ListParagraph"/>
        <w:numPr>
          <w:ilvl w:val="0"/>
          <w:numId w:val="12"/>
        </w:numPr>
        <w:spacing w:after="80" w:line="276" w:lineRule="auto"/>
        <w:ind w:left="142" w:right="-329" w:hanging="284"/>
        <w:contextualSpacing w:val="0"/>
        <w:rPr>
          <w:rFonts w:eastAsia="Calibri" w:cstheme="minorHAnsi"/>
          <w:sz w:val="21"/>
          <w:szCs w:val="21"/>
        </w:rPr>
      </w:pPr>
      <w:r w:rsidRPr="00A35914">
        <w:rPr>
          <w:rFonts w:eastAsia="Calibri" w:cstheme="minorHAnsi"/>
          <w:sz w:val="21"/>
          <w:szCs w:val="21"/>
        </w:rPr>
        <w:t xml:space="preserve">Australian research has shown that parents living below the poverty line prioritised </w:t>
      </w:r>
      <w:r w:rsidR="003C3634" w:rsidRPr="00A35914">
        <w:rPr>
          <w:rFonts w:eastAsia="Calibri" w:cstheme="minorHAnsi"/>
          <w:sz w:val="21"/>
          <w:szCs w:val="21"/>
        </w:rPr>
        <w:t>‘</w:t>
      </w:r>
      <w:r w:rsidRPr="00A35914">
        <w:rPr>
          <w:rFonts w:eastAsia="Calibri" w:cstheme="minorHAnsi"/>
          <w:sz w:val="21"/>
          <w:szCs w:val="21"/>
        </w:rPr>
        <w:t>filling up</w:t>
      </w:r>
      <w:r w:rsidR="003C3634" w:rsidRPr="00A35914">
        <w:rPr>
          <w:rFonts w:eastAsia="Calibri" w:cstheme="minorHAnsi"/>
          <w:sz w:val="21"/>
          <w:szCs w:val="21"/>
        </w:rPr>
        <w:t>’</w:t>
      </w:r>
      <w:r w:rsidRPr="00A35914">
        <w:rPr>
          <w:rFonts w:eastAsia="Calibri" w:cstheme="minorHAnsi"/>
          <w:sz w:val="21"/>
          <w:szCs w:val="21"/>
        </w:rPr>
        <w:t xml:space="preserve"> their children on carbohydrate-rich foods rather than focusing on nutritional value due to significant income and time-related constraints.</w:t>
      </w:r>
      <w:r w:rsidRPr="00A35914">
        <w:rPr>
          <w:rStyle w:val="EndnoteReference"/>
          <w:rFonts w:eastAsia="Calibri" w:cstheme="minorHAnsi"/>
          <w:sz w:val="21"/>
          <w:szCs w:val="21"/>
        </w:rPr>
        <w:endnoteReference w:id="27"/>
      </w:r>
      <w:r w:rsidRPr="00A35914">
        <w:rPr>
          <w:rFonts w:eastAsia="Calibri" w:cstheme="minorHAnsi"/>
          <w:sz w:val="21"/>
          <w:szCs w:val="21"/>
        </w:rPr>
        <w:t xml:space="preserve"> </w:t>
      </w:r>
    </w:p>
    <w:p w14:paraId="7810ABBF" w14:textId="1BEB6805" w:rsidR="00265ACC" w:rsidRPr="00A35914" w:rsidRDefault="00D76FEF" w:rsidP="00A35914">
      <w:pPr>
        <w:pStyle w:val="ListParagraph"/>
        <w:numPr>
          <w:ilvl w:val="0"/>
          <w:numId w:val="12"/>
        </w:numPr>
        <w:spacing w:after="120" w:line="276" w:lineRule="auto"/>
        <w:ind w:left="142" w:right="-330" w:hanging="284"/>
        <w:contextualSpacing w:val="0"/>
        <w:rPr>
          <w:rFonts w:eastAsia="Calibri" w:cstheme="minorHAnsi"/>
          <w:sz w:val="21"/>
          <w:szCs w:val="21"/>
        </w:rPr>
      </w:pPr>
      <w:r w:rsidRPr="00A35914">
        <w:rPr>
          <w:rFonts w:eastAsia="Calibri" w:cstheme="minorHAnsi"/>
          <w:sz w:val="21"/>
          <w:szCs w:val="21"/>
        </w:rPr>
        <w:lastRenderedPageBreak/>
        <w:t>Research also shows that single mothers receiving the unemployment benefit Newstart are forced to treat food as a discretionary item due to their limited income, and frequently worry about how this is impacting their children's health and wellbeing.</w:t>
      </w:r>
      <w:r w:rsidRPr="00A35914">
        <w:rPr>
          <w:rStyle w:val="EndnoteReference"/>
          <w:rFonts w:eastAsia="Calibri" w:cstheme="minorHAnsi"/>
          <w:sz w:val="21"/>
          <w:szCs w:val="21"/>
        </w:rPr>
        <w:endnoteReference w:id="28"/>
      </w:r>
      <w:r w:rsidRPr="00A35914">
        <w:rPr>
          <w:rFonts w:eastAsia="Calibri" w:cstheme="minorHAnsi"/>
          <w:sz w:val="21"/>
          <w:szCs w:val="21"/>
        </w:rPr>
        <w:t xml:space="preserve"> </w:t>
      </w:r>
    </w:p>
    <w:p w14:paraId="52E6C073" w14:textId="1172CEB8" w:rsidR="00D76FEF" w:rsidRPr="00A35914" w:rsidRDefault="003C3634" w:rsidP="00A35914">
      <w:pPr>
        <w:spacing w:after="120" w:line="276" w:lineRule="auto"/>
        <w:ind w:left="-284" w:right="-330"/>
        <w:rPr>
          <w:rFonts w:cstheme="minorHAnsi"/>
          <w:sz w:val="21"/>
          <w:szCs w:val="21"/>
          <w:vertAlign w:val="superscript"/>
        </w:rPr>
      </w:pPr>
      <w:r w:rsidRPr="00A35914">
        <w:rPr>
          <w:rFonts w:cstheme="minorHAnsi"/>
          <w:sz w:val="21"/>
          <w:szCs w:val="21"/>
        </w:rPr>
        <w:t xml:space="preserve">Increasing the payment level for Newstart would significantly improve the equity of income distribution and health. </w:t>
      </w:r>
      <w:r w:rsidRPr="00A35914">
        <w:rPr>
          <w:rFonts w:cstheme="minorHAnsi"/>
          <w:sz w:val="21"/>
          <w:szCs w:val="21"/>
          <w:vertAlign w:val="superscript"/>
        </w:rPr>
        <w:endnoteReference w:id="29"/>
      </w:r>
      <w:r w:rsidRPr="00A35914">
        <w:rPr>
          <w:rFonts w:cstheme="minorHAnsi"/>
          <w:sz w:val="21"/>
          <w:szCs w:val="21"/>
          <w:vertAlign w:val="superscript"/>
        </w:rPr>
        <w:t xml:space="preserve"> </w:t>
      </w:r>
    </w:p>
    <w:p w14:paraId="4448403F" w14:textId="22D58675" w:rsidR="008166E5" w:rsidRPr="00A35914" w:rsidRDefault="00D76FEF" w:rsidP="00A35914">
      <w:pPr>
        <w:spacing w:after="120" w:line="276" w:lineRule="auto"/>
        <w:ind w:left="-284" w:right="-330"/>
        <w:rPr>
          <w:rFonts w:cstheme="minorHAnsi"/>
          <w:sz w:val="21"/>
          <w:szCs w:val="21"/>
        </w:rPr>
      </w:pPr>
      <w:r w:rsidRPr="00A35914">
        <w:rPr>
          <w:rFonts w:cstheme="minorHAnsi"/>
          <w:b/>
          <w:sz w:val="21"/>
          <w:szCs w:val="21"/>
        </w:rPr>
        <w:t>Recommendations</w:t>
      </w:r>
      <w:r w:rsidRPr="00A35914">
        <w:rPr>
          <w:rFonts w:cstheme="minorHAnsi"/>
          <w:sz w:val="21"/>
          <w:szCs w:val="21"/>
        </w:rPr>
        <w:t>:</w:t>
      </w:r>
    </w:p>
    <w:p w14:paraId="1D95F1A9" w14:textId="199A537F" w:rsidR="00D76FEF" w:rsidRPr="00A35914" w:rsidRDefault="00D76FEF" w:rsidP="00A35914">
      <w:pPr>
        <w:pStyle w:val="ListParagraph"/>
        <w:numPr>
          <w:ilvl w:val="0"/>
          <w:numId w:val="16"/>
        </w:numPr>
        <w:shd w:val="clear" w:color="auto" w:fill="DEEAF6" w:themeFill="accent5" w:themeFillTint="33"/>
        <w:spacing w:after="80" w:line="276" w:lineRule="auto"/>
        <w:ind w:left="714" w:right="-329" w:hanging="357"/>
        <w:contextualSpacing w:val="0"/>
        <w:rPr>
          <w:rFonts w:cstheme="minorHAnsi"/>
          <w:sz w:val="21"/>
          <w:szCs w:val="21"/>
        </w:rPr>
      </w:pPr>
      <w:r w:rsidRPr="00A35914">
        <w:rPr>
          <w:rFonts w:cstheme="minorHAnsi"/>
          <w:sz w:val="21"/>
          <w:szCs w:val="21"/>
        </w:rPr>
        <w:t>Focus on healthy behaviours rather than weight, especially when encouraging women and girls to participate in physical activities</w:t>
      </w:r>
      <w:r w:rsidR="00D4067D">
        <w:rPr>
          <w:rFonts w:cstheme="minorHAnsi"/>
          <w:sz w:val="21"/>
          <w:szCs w:val="21"/>
        </w:rPr>
        <w:t xml:space="preserve"> and consume a healthy diet</w:t>
      </w:r>
      <w:r w:rsidRPr="00A35914">
        <w:rPr>
          <w:rFonts w:cstheme="minorHAnsi"/>
          <w:sz w:val="21"/>
          <w:szCs w:val="21"/>
        </w:rPr>
        <w:t>.</w:t>
      </w:r>
    </w:p>
    <w:p w14:paraId="589FDAF3" w14:textId="2070AE1F" w:rsidR="00B5139A" w:rsidRPr="00A35914" w:rsidRDefault="008166E5" w:rsidP="00A35914">
      <w:pPr>
        <w:pStyle w:val="ListParagraph"/>
        <w:numPr>
          <w:ilvl w:val="0"/>
          <w:numId w:val="16"/>
        </w:numPr>
        <w:shd w:val="clear" w:color="auto" w:fill="DEEAF6" w:themeFill="accent5" w:themeFillTint="33"/>
        <w:spacing w:after="80" w:line="276" w:lineRule="auto"/>
        <w:ind w:left="714" w:right="-329" w:hanging="357"/>
        <w:contextualSpacing w:val="0"/>
        <w:rPr>
          <w:rFonts w:cstheme="minorHAnsi"/>
          <w:sz w:val="21"/>
          <w:szCs w:val="21"/>
        </w:rPr>
      </w:pPr>
      <w:r w:rsidRPr="00A35914">
        <w:rPr>
          <w:rFonts w:cstheme="minorHAnsi"/>
          <w:sz w:val="21"/>
          <w:szCs w:val="21"/>
        </w:rPr>
        <w:t>Plan and e</w:t>
      </w:r>
      <w:r w:rsidR="00B5139A" w:rsidRPr="00A35914">
        <w:rPr>
          <w:rFonts w:cstheme="minorHAnsi"/>
          <w:sz w:val="21"/>
          <w:szCs w:val="21"/>
        </w:rPr>
        <w:t>valuat</w:t>
      </w:r>
      <w:r w:rsidRPr="00A35914">
        <w:rPr>
          <w:rFonts w:cstheme="minorHAnsi"/>
          <w:sz w:val="21"/>
          <w:szCs w:val="21"/>
        </w:rPr>
        <w:t>e</w:t>
      </w:r>
      <w:r w:rsidR="00B5139A" w:rsidRPr="00A35914">
        <w:rPr>
          <w:rFonts w:cstheme="minorHAnsi"/>
          <w:sz w:val="21"/>
          <w:szCs w:val="21"/>
        </w:rPr>
        <w:t xml:space="preserve"> actions associated with the strategy </w:t>
      </w:r>
      <w:r w:rsidRPr="00A35914">
        <w:rPr>
          <w:rFonts w:cstheme="minorHAnsi"/>
          <w:sz w:val="21"/>
          <w:szCs w:val="21"/>
        </w:rPr>
        <w:t>using</w:t>
      </w:r>
      <w:r w:rsidR="00B5139A" w:rsidRPr="00A35914">
        <w:rPr>
          <w:rFonts w:cstheme="minorHAnsi"/>
          <w:sz w:val="21"/>
          <w:szCs w:val="21"/>
        </w:rPr>
        <w:t xml:space="preserve"> a gender analysis to ensure that women, men and gender diverse people are all being reached</w:t>
      </w:r>
      <w:r w:rsidR="00AB3F09" w:rsidRPr="00A35914">
        <w:rPr>
          <w:rFonts w:cstheme="minorHAnsi"/>
          <w:sz w:val="21"/>
          <w:szCs w:val="21"/>
        </w:rPr>
        <w:t>.</w:t>
      </w:r>
    </w:p>
    <w:p w14:paraId="1C64AAF3" w14:textId="034E8278" w:rsidR="00D76FEF" w:rsidRPr="00A35914" w:rsidRDefault="00D80AA0" w:rsidP="00A35914">
      <w:pPr>
        <w:pStyle w:val="ListParagraph"/>
        <w:numPr>
          <w:ilvl w:val="0"/>
          <w:numId w:val="16"/>
        </w:numPr>
        <w:shd w:val="clear" w:color="auto" w:fill="DEEAF6" w:themeFill="accent5" w:themeFillTint="33"/>
        <w:spacing w:after="80" w:line="276" w:lineRule="auto"/>
        <w:ind w:left="714" w:right="-329" w:hanging="357"/>
        <w:contextualSpacing w:val="0"/>
        <w:rPr>
          <w:rFonts w:cstheme="minorHAnsi"/>
          <w:sz w:val="21"/>
          <w:szCs w:val="21"/>
        </w:rPr>
      </w:pPr>
      <w:bookmarkStart w:id="2" w:name="_Hlk27143939"/>
      <w:r w:rsidRPr="00A35914">
        <w:rPr>
          <w:rFonts w:cstheme="minorHAnsi"/>
          <w:sz w:val="21"/>
          <w:szCs w:val="21"/>
        </w:rPr>
        <w:t>Address the barriers to the participation of women and girls in physical activity, including i</w:t>
      </w:r>
      <w:r w:rsidR="00D76FEF" w:rsidRPr="00A35914">
        <w:rPr>
          <w:rFonts w:cstheme="minorHAnsi"/>
          <w:sz w:val="21"/>
          <w:szCs w:val="21"/>
        </w:rPr>
        <w:t xml:space="preserve">nitiatives to </w:t>
      </w:r>
      <w:r w:rsidRPr="00A35914">
        <w:rPr>
          <w:rFonts w:cstheme="minorHAnsi"/>
          <w:sz w:val="21"/>
          <w:szCs w:val="21"/>
        </w:rPr>
        <w:t xml:space="preserve">support positive body image and </w:t>
      </w:r>
      <w:r w:rsidR="00D76FEF" w:rsidRPr="00A35914">
        <w:rPr>
          <w:rFonts w:cstheme="minorHAnsi"/>
          <w:sz w:val="21"/>
          <w:szCs w:val="21"/>
        </w:rPr>
        <w:t xml:space="preserve">improve </w:t>
      </w:r>
      <w:r w:rsidR="008166E5" w:rsidRPr="00A35914">
        <w:rPr>
          <w:rFonts w:cstheme="minorHAnsi"/>
          <w:sz w:val="21"/>
          <w:szCs w:val="21"/>
        </w:rPr>
        <w:t xml:space="preserve">(perceptions of) </w:t>
      </w:r>
      <w:r w:rsidRPr="00A35914">
        <w:rPr>
          <w:rFonts w:cstheme="minorHAnsi"/>
          <w:sz w:val="21"/>
          <w:szCs w:val="21"/>
        </w:rPr>
        <w:t>safety in public space</w:t>
      </w:r>
      <w:r w:rsidR="00D76FEF" w:rsidRPr="00A35914">
        <w:rPr>
          <w:rFonts w:cstheme="minorHAnsi"/>
          <w:sz w:val="21"/>
          <w:szCs w:val="21"/>
        </w:rPr>
        <w:t>.</w:t>
      </w:r>
    </w:p>
    <w:bookmarkEnd w:id="2"/>
    <w:p w14:paraId="5CFEFBDA" w14:textId="6FEC6F1D" w:rsidR="00D76FEF" w:rsidRPr="00A35914" w:rsidRDefault="008166E5" w:rsidP="00A35914">
      <w:pPr>
        <w:pStyle w:val="ListParagraph"/>
        <w:numPr>
          <w:ilvl w:val="0"/>
          <w:numId w:val="16"/>
        </w:numPr>
        <w:shd w:val="clear" w:color="auto" w:fill="DEEAF6" w:themeFill="accent5" w:themeFillTint="33"/>
        <w:spacing w:after="80" w:line="276" w:lineRule="auto"/>
        <w:ind w:left="714" w:right="-329" w:hanging="357"/>
        <w:contextualSpacing w:val="0"/>
        <w:rPr>
          <w:rFonts w:cstheme="minorHAnsi"/>
          <w:sz w:val="21"/>
          <w:szCs w:val="21"/>
        </w:rPr>
      </w:pPr>
      <w:r w:rsidRPr="00A35914">
        <w:rPr>
          <w:rFonts w:cstheme="minorHAnsi"/>
          <w:sz w:val="21"/>
          <w:szCs w:val="21"/>
        </w:rPr>
        <w:t>A</w:t>
      </w:r>
      <w:r w:rsidR="00D76FEF" w:rsidRPr="00A35914">
        <w:rPr>
          <w:rFonts w:cstheme="minorHAnsi"/>
          <w:sz w:val="21"/>
          <w:szCs w:val="21"/>
        </w:rPr>
        <w:t xml:space="preserve">dvocate </w:t>
      </w:r>
      <w:r w:rsidR="00CD62B1" w:rsidRPr="00A35914">
        <w:rPr>
          <w:rFonts w:cstheme="minorHAnsi"/>
          <w:sz w:val="21"/>
          <w:szCs w:val="21"/>
        </w:rPr>
        <w:t>to increase</w:t>
      </w:r>
      <w:r w:rsidR="00D76FEF" w:rsidRPr="00A35914">
        <w:rPr>
          <w:rFonts w:cstheme="minorHAnsi"/>
          <w:sz w:val="21"/>
          <w:szCs w:val="21"/>
        </w:rPr>
        <w:t xml:space="preserve"> social security payments, including Newstart</w:t>
      </w:r>
      <w:r w:rsidR="00CD62B1" w:rsidRPr="00A35914">
        <w:rPr>
          <w:rFonts w:cstheme="minorHAnsi"/>
          <w:sz w:val="21"/>
          <w:szCs w:val="21"/>
        </w:rPr>
        <w:t xml:space="preserve">, to </w:t>
      </w:r>
      <w:r w:rsidR="00C067FD">
        <w:rPr>
          <w:rFonts w:cstheme="minorHAnsi"/>
          <w:sz w:val="21"/>
          <w:szCs w:val="21"/>
        </w:rPr>
        <w:t xml:space="preserve">facilitate equitable </w:t>
      </w:r>
      <w:r w:rsidR="00CD62B1" w:rsidRPr="00A35914">
        <w:rPr>
          <w:rFonts w:cstheme="minorHAnsi"/>
          <w:sz w:val="21"/>
          <w:szCs w:val="21"/>
        </w:rPr>
        <w:t>access to healthy food</w:t>
      </w:r>
      <w:r w:rsidR="00D76FEF" w:rsidRPr="00A35914">
        <w:rPr>
          <w:rFonts w:cstheme="minorHAnsi"/>
          <w:sz w:val="21"/>
          <w:szCs w:val="21"/>
        </w:rPr>
        <w:t xml:space="preserve">. </w:t>
      </w:r>
    </w:p>
    <w:p w14:paraId="4447D568" w14:textId="00640C17" w:rsidR="00D76FEF" w:rsidRPr="00E83B1A" w:rsidRDefault="00CD62B1" w:rsidP="00A35914">
      <w:pPr>
        <w:pStyle w:val="ListParagraph"/>
        <w:numPr>
          <w:ilvl w:val="0"/>
          <w:numId w:val="16"/>
        </w:numPr>
        <w:shd w:val="clear" w:color="auto" w:fill="DEEAF6" w:themeFill="accent5" w:themeFillTint="33"/>
        <w:spacing w:after="80" w:line="276" w:lineRule="auto"/>
        <w:ind w:left="714" w:right="-329" w:hanging="357"/>
        <w:contextualSpacing w:val="0"/>
        <w:rPr>
          <w:rFonts w:cstheme="minorHAnsi"/>
          <w:sz w:val="21"/>
          <w:szCs w:val="21"/>
        </w:rPr>
      </w:pPr>
      <w:r w:rsidRPr="00E83B1A">
        <w:rPr>
          <w:rFonts w:cstheme="minorHAnsi"/>
          <w:sz w:val="21"/>
          <w:szCs w:val="21"/>
        </w:rPr>
        <w:t xml:space="preserve">Amend Proposed Priority Area </w:t>
      </w:r>
      <w:r w:rsidR="00D76FEF" w:rsidRPr="00E83B1A">
        <w:rPr>
          <w:rFonts w:cstheme="minorHAnsi"/>
          <w:sz w:val="21"/>
          <w:szCs w:val="21"/>
        </w:rPr>
        <w:t>1.1.3</w:t>
      </w:r>
      <w:r w:rsidR="0062640F" w:rsidRPr="00E83B1A">
        <w:rPr>
          <w:rFonts w:cstheme="minorHAnsi"/>
          <w:sz w:val="21"/>
          <w:szCs w:val="21"/>
        </w:rPr>
        <w:t xml:space="preserve"> to ensure it will not decrease the availability of infant formula.</w:t>
      </w:r>
      <w:r w:rsidR="00D76FEF" w:rsidRPr="00E83B1A">
        <w:rPr>
          <w:rFonts w:cstheme="minorHAnsi"/>
          <w:sz w:val="21"/>
          <w:szCs w:val="21"/>
        </w:rPr>
        <w:t xml:space="preserve"> </w:t>
      </w:r>
      <w:r w:rsidRPr="00E83B1A">
        <w:rPr>
          <w:rFonts w:cstheme="minorHAnsi"/>
          <w:sz w:val="21"/>
          <w:szCs w:val="21"/>
        </w:rPr>
        <w:t xml:space="preserve">To support women to breastfeed exclusively for six months, invest in initiatives to increase breastfeeding support, with a </w:t>
      </w:r>
      <w:proofErr w:type="gramStart"/>
      <w:r w:rsidRPr="00E83B1A">
        <w:rPr>
          <w:rFonts w:cstheme="minorHAnsi"/>
          <w:sz w:val="21"/>
          <w:szCs w:val="21"/>
        </w:rPr>
        <w:t>particular focus</w:t>
      </w:r>
      <w:proofErr w:type="gramEnd"/>
      <w:r w:rsidRPr="00E83B1A">
        <w:rPr>
          <w:rFonts w:cstheme="minorHAnsi"/>
          <w:sz w:val="21"/>
          <w:szCs w:val="21"/>
        </w:rPr>
        <w:t xml:space="preserve"> on women in bigger bodies. </w:t>
      </w:r>
      <w:r w:rsidR="00D76FEF" w:rsidRPr="00E83B1A">
        <w:rPr>
          <w:rFonts w:cstheme="minorHAnsi"/>
          <w:sz w:val="21"/>
          <w:szCs w:val="21"/>
        </w:rPr>
        <w:t xml:space="preserve">The conditions described in Priority Area 2.5 must be met before setting targets for breastfeeding.  </w:t>
      </w:r>
    </w:p>
    <w:p w14:paraId="12D2DE69" w14:textId="600E28AD" w:rsidR="00D76FEF" w:rsidRPr="008166E5" w:rsidRDefault="00D76FEF" w:rsidP="00A35914">
      <w:pPr>
        <w:pStyle w:val="Heading3"/>
        <w:numPr>
          <w:ilvl w:val="0"/>
          <w:numId w:val="8"/>
        </w:numPr>
        <w:spacing w:before="0" w:after="120" w:line="252" w:lineRule="auto"/>
        <w:ind w:left="-284" w:right="-330" w:firstLine="0"/>
        <w:rPr>
          <w:rFonts w:cstheme="minorHAnsi"/>
          <w:color w:val="002060"/>
        </w:rPr>
      </w:pPr>
      <w:r w:rsidRPr="008166E5">
        <w:rPr>
          <w:rFonts w:cstheme="minorHAnsi"/>
          <w:color w:val="002060"/>
        </w:rPr>
        <w:t xml:space="preserve">Take an active role </w:t>
      </w:r>
      <w:r w:rsidR="00AB3F09">
        <w:rPr>
          <w:rFonts w:cstheme="minorHAnsi"/>
          <w:color w:val="002060"/>
        </w:rPr>
        <w:t>in</w:t>
      </w:r>
      <w:r w:rsidRPr="008166E5">
        <w:rPr>
          <w:rFonts w:cstheme="minorHAnsi"/>
          <w:color w:val="002060"/>
        </w:rPr>
        <w:t xml:space="preserve"> reduc</w:t>
      </w:r>
      <w:r w:rsidR="00AB3F09">
        <w:rPr>
          <w:rFonts w:cstheme="minorHAnsi"/>
          <w:color w:val="002060"/>
        </w:rPr>
        <w:t>ing</w:t>
      </w:r>
      <w:r w:rsidRPr="008166E5">
        <w:rPr>
          <w:rFonts w:cstheme="minorHAnsi"/>
          <w:color w:val="002060"/>
        </w:rPr>
        <w:t xml:space="preserve"> weight stigma</w:t>
      </w:r>
    </w:p>
    <w:p w14:paraId="3EAB1DA3" w14:textId="56879192" w:rsidR="00D76FEF" w:rsidRPr="00A35914" w:rsidRDefault="00B5139A" w:rsidP="00A35914">
      <w:pPr>
        <w:spacing w:after="120" w:line="252" w:lineRule="auto"/>
        <w:ind w:left="-284" w:right="-330"/>
        <w:rPr>
          <w:rFonts w:cstheme="minorHAnsi"/>
          <w:sz w:val="21"/>
          <w:szCs w:val="21"/>
        </w:rPr>
      </w:pPr>
      <w:r w:rsidRPr="00A35914">
        <w:rPr>
          <w:rFonts w:cstheme="minorHAnsi"/>
          <w:sz w:val="21"/>
          <w:szCs w:val="21"/>
        </w:rPr>
        <w:t>W</w:t>
      </w:r>
      <w:r w:rsidR="008166E5" w:rsidRPr="00A35914">
        <w:rPr>
          <w:rFonts w:cstheme="minorHAnsi"/>
          <w:sz w:val="21"/>
          <w:szCs w:val="21"/>
        </w:rPr>
        <w:t>HV</w:t>
      </w:r>
      <w:r w:rsidRPr="00A35914">
        <w:rPr>
          <w:rFonts w:cstheme="minorHAnsi"/>
          <w:sz w:val="21"/>
          <w:szCs w:val="21"/>
        </w:rPr>
        <w:t xml:space="preserve"> is pleased that the strategy recognises that reducing weight stigma is essential.</w:t>
      </w:r>
      <w:r w:rsidR="00E50937" w:rsidRPr="00A35914">
        <w:rPr>
          <w:rFonts w:cstheme="minorHAnsi"/>
          <w:sz w:val="21"/>
          <w:szCs w:val="21"/>
        </w:rPr>
        <w:t xml:space="preserve"> Weight stigma is common in Australia and experienced by </w:t>
      </w:r>
      <w:r w:rsidR="00E50937" w:rsidRPr="00A35914">
        <w:rPr>
          <w:rFonts w:eastAsia="Calibri" w:cstheme="minorHAnsi"/>
          <w:sz w:val="21"/>
          <w:szCs w:val="21"/>
        </w:rPr>
        <w:t>86% of people in the obese BMI category.</w:t>
      </w:r>
      <w:r w:rsidR="00E50937" w:rsidRPr="00A35914">
        <w:rPr>
          <w:rStyle w:val="EndnoteReference"/>
          <w:rFonts w:eastAsia="Calibri" w:cstheme="minorHAnsi"/>
          <w:sz w:val="21"/>
          <w:szCs w:val="21"/>
        </w:rPr>
        <w:endnoteReference w:id="30"/>
      </w:r>
      <w:r w:rsidR="00E50937" w:rsidRPr="00A35914">
        <w:rPr>
          <w:rStyle w:val="EndnoteReference"/>
          <w:rFonts w:eastAsia="Calibri" w:cstheme="minorHAnsi"/>
          <w:sz w:val="21"/>
          <w:szCs w:val="21"/>
        </w:rPr>
        <w:t xml:space="preserve"> </w:t>
      </w:r>
      <w:r w:rsidR="00E50937" w:rsidRPr="00A35914">
        <w:rPr>
          <w:rFonts w:eastAsia="Calibri" w:cstheme="minorHAnsi"/>
          <w:sz w:val="21"/>
          <w:szCs w:val="21"/>
        </w:rPr>
        <w:t xml:space="preserve"> </w:t>
      </w:r>
      <w:bookmarkStart w:id="3" w:name="_GoBack"/>
      <w:bookmarkEnd w:id="3"/>
      <w:r w:rsidR="00D76FEF" w:rsidRPr="00A35914">
        <w:rPr>
          <w:rFonts w:cstheme="minorHAnsi"/>
          <w:sz w:val="21"/>
          <w:szCs w:val="21"/>
        </w:rPr>
        <w:t xml:space="preserve">Weight stigma is not caused by an individual’s body weight, but rather </w:t>
      </w:r>
      <w:r w:rsidR="008166E5" w:rsidRPr="00A35914">
        <w:rPr>
          <w:rFonts w:cstheme="minorHAnsi"/>
          <w:sz w:val="21"/>
          <w:szCs w:val="21"/>
        </w:rPr>
        <w:t>biased</w:t>
      </w:r>
      <w:r w:rsidR="00CD62B1" w:rsidRPr="00A35914">
        <w:rPr>
          <w:rFonts w:cstheme="minorHAnsi"/>
          <w:sz w:val="21"/>
          <w:szCs w:val="21"/>
        </w:rPr>
        <w:t xml:space="preserve"> </w:t>
      </w:r>
      <w:r w:rsidR="00D76FEF" w:rsidRPr="00A35914">
        <w:rPr>
          <w:rFonts w:cstheme="minorHAnsi"/>
          <w:sz w:val="21"/>
          <w:szCs w:val="21"/>
        </w:rPr>
        <w:t xml:space="preserve">attitudes to bodyweight and appearance. </w:t>
      </w:r>
    </w:p>
    <w:p w14:paraId="5E8809D6" w14:textId="4A90EF9E" w:rsidR="00E50937" w:rsidRPr="00A35914" w:rsidRDefault="00E50937" w:rsidP="00A35914">
      <w:pPr>
        <w:spacing w:after="120" w:line="252" w:lineRule="auto"/>
        <w:ind w:left="-284" w:right="-330"/>
        <w:rPr>
          <w:rFonts w:cstheme="minorHAnsi"/>
          <w:sz w:val="21"/>
          <w:szCs w:val="21"/>
        </w:rPr>
      </w:pPr>
      <w:r w:rsidRPr="00A35914">
        <w:rPr>
          <w:rFonts w:eastAsia="Calibri" w:cstheme="minorHAnsi"/>
          <w:color w:val="222222"/>
          <w:sz w:val="21"/>
          <w:szCs w:val="21"/>
        </w:rPr>
        <w:t>Longitudinal research shows that being teased about weight by family members or peers during adolescence predicts adverse health outcomes including binge eating, unhealthy weight control practices, poor body image, higher BMI and obesity 15 years later, especially among women.</w:t>
      </w:r>
      <w:r w:rsidRPr="00A35914">
        <w:rPr>
          <w:rStyle w:val="EndnoteReference"/>
          <w:rFonts w:eastAsia="Calibri" w:cstheme="minorHAnsi"/>
          <w:color w:val="222222"/>
          <w:sz w:val="21"/>
          <w:szCs w:val="21"/>
        </w:rPr>
        <w:endnoteReference w:id="31"/>
      </w:r>
    </w:p>
    <w:p w14:paraId="459CD898" w14:textId="746E1719" w:rsidR="00D76FEF" w:rsidRPr="00A35914" w:rsidRDefault="00D76FEF" w:rsidP="00A35914">
      <w:pPr>
        <w:spacing w:after="120" w:line="252" w:lineRule="auto"/>
        <w:ind w:left="-284" w:right="-330"/>
        <w:rPr>
          <w:rFonts w:cstheme="minorHAnsi"/>
          <w:sz w:val="21"/>
          <w:szCs w:val="21"/>
          <w:lang w:val="en-US"/>
        </w:rPr>
      </w:pPr>
      <w:r w:rsidRPr="00A35914">
        <w:rPr>
          <w:rFonts w:cstheme="minorHAnsi"/>
          <w:sz w:val="21"/>
          <w:szCs w:val="21"/>
          <w:lang w:val="en-US"/>
        </w:rPr>
        <w:t>The experience</w:t>
      </w:r>
      <w:r w:rsidRPr="00A35914">
        <w:rPr>
          <w:rFonts w:cstheme="minorHAnsi"/>
          <w:sz w:val="21"/>
          <w:szCs w:val="21"/>
        </w:rPr>
        <w:t xml:space="preserve"> of weight stigma is associated with a range of negative physical, psychological and social health issues. A systematic review found that weight stigma is independently associated with adverse physiological and psychological outcomes, including diabetes risk, eating disturbances, depression, anxiety and low self-esteem.</w:t>
      </w:r>
      <w:r w:rsidRPr="00A35914">
        <w:rPr>
          <w:rFonts w:cstheme="minorHAnsi"/>
          <w:sz w:val="21"/>
          <w:szCs w:val="21"/>
          <w:vertAlign w:val="superscript"/>
        </w:rPr>
        <w:endnoteReference w:id="32"/>
      </w:r>
      <w:r w:rsidRPr="00A35914">
        <w:rPr>
          <w:rFonts w:cstheme="minorHAnsi"/>
          <w:sz w:val="21"/>
          <w:szCs w:val="21"/>
        </w:rPr>
        <w:t xml:space="preserve">  </w:t>
      </w:r>
      <w:r w:rsidR="00E50937" w:rsidRPr="00A35914">
        <w:rPr>
          <w:rFonts w:cstheme="minorHAnsi"/>
          <w:sz w:val="21"/>
          <w:szCs w:val="21"/>
        </w:rPr>
        <w:t>W</w:t>
      </w:r>
      <w:r w:rsidRPr="00A35914">
        <w:rPr>
          <w:rFonts w:cstheme="minorHAnsi"/>
          <w:sz w:val="21"/>
          <w:szCs w:val="21"/>
        </w:rPr>
        <w:t>omen report higher rates of weight stigma than men,</w:t>
      </w:r>
      <w:r w:rsidRPr="00A35914">
        <w:rPr>
          <w:rStyle w:val="EndnoteReference"/>
          <w:rFonts w:cstheme="minorHAnsi"/>
          <w:sz w:val="21"/>
          <w:szCs w:val="21"/>
        </w:rPr>
        <w:endnoteReference w:id="33"/>
      </w:r>
      <w:r w:rsidRPr="00A35914">
        <w:rPr>
          <w:rFonts w:cstheme="minorHAnsi"/>
          <w:sz w:val="21"/>
          <w:szCs w:val="21"/>
        </w:rPr>
        <w:t xml:space="preserve"> </w:t>
      </w:r>
      <w:proofErr w:type="gramStart"/>
      <w:r w:rsidR="00E50937" w:rsidRPr="00A35914">
        <w:rPr>
          <w:rFonts w:cstheme="minorHAnsi"/>
          <w:sz w:val="21"/>
          <w:szCs w:val="21"/>
        </w:rPr>
        <w:t xml:space="preserve">and </w:t>
      </w:r>
      <w:r w:rsidRPr="00A35914">
        <w:rPr>
          <w:rFonts w:cstheme="minorHAnsi"/>
          <w:sz w:val="21"/>
          <w:szCs w:val="21"/>
        </w:rPr>
        <w:t>also</w:t>
      </w:r>
      <w:proofErr w:type="gramEnd"/>
      <w:r w:rsidRPr="00A35914">
        <w:rPr>
          <w:rFonts w:cstheme="minorHAnsi"/>
          <w:sz w:val="21"/>
          <w:szCs w:val="21"/>
        </w:rPr>
        <w:t xml:space="preserve"> report that they begin to experience weight-based discrimination at lower weights.</w:t>
      </w:r>
      <w:r w:rsidRPr="00A35914">
        <w:rPr>
          <w:rStyle w:val="EndnoteReference"/>
          <w:rFonts w:cstheme="minorHAnsi"/>
          <w:sz w:val="21"/>
          <w:szCs w:val="21"/>
        </w:rPr>
        <w:endnoteReference w:id="34"/>
      </w:r>
    </w:p>
    <w:p w14:paraId="2D2E2C04" w14:textId="69D6AB20" w:rsidR="00D76FEF" w:rsidRPr="00A35914" w:rsidRDefault="00D76FEF" w:rsidP="00A35914">
      <w:pPr>
        <w:spacing w:after="120" w:line="252" w:lineRule="auto"/>
        <w:ind w:left="-284" w:right="-330"/>
        <w:rPr>
          <w:rFonts w:cstheme="minorHAnsi"/>
          <w:sz w:val="21"/>
          <w:szCs w:val="21"/>
        </w:rPr>
      </w:pPr>
      <w:r w:rsidRPr="00A35914">
        <w:rPr>
          <w:rFonts w:cstheme="minorHAnsi"/>
          <w:sz w:val="21"/>
          <w:szCs w:val="21"/>
        </w:rPr>
        <w:t>Experiences of weight stigma are not only detrimental to a person’s emotional health and wellbeing,</w:t>
      </w:r>
      <w:r w:rsidRPr="00A35914">
        <w:rPr>
          <w:rStyle w:val="EndnoteReference"/>
          <w:rFonts w:cstheme="minorHAnsi"/>
          <w:sz w:val="21"/>
          <w:szCs w:val="21"/>
        </w:rPr>
        <w:endnoteReference w:id="35"/>
      </w:r>
      <w:r w:rsidRPr="00A35914">
        <w:rPr>
          <w:rFonts w:cstheme="minorHAnsi"/>
          <w:sz w:val="21"/>
          <w:szCs w:val="21"/>
        </w:rPr>
        <w:t xml:space="preserve"> but also </w:t>
      </w:r>
      <w:r w:rsidR="008A3B5A" w:rsidRPr="00A35914">
        <w:rPr>
          <w:rFonts w:cstheme="minorHAnsi"/>
          <w:sz w:val="21"/>
          <w:szCs w:val="21"/>
        </w:rPr>
        <w:t>to</w:t>
      </w:r>
      <w:r w:rsidRPr="00A35914">
        <w:rPr>
          <w:rFonts w:cstheme="minorHAnsi"/>
          <w:sz w:val="21"/>
          <w:szCs w:val="21"/>
        </w:rPr>
        <w:t xml:space="preserve"> their motivation to participate in physical activity, especially for women.</w:t>
      </w:r>
      <w:r w:rsidRPr="00A35914">
        <w:rPr>
          <w:rStyle w:val="EndnoteReference"/>
          <w:rFonts w:cstheme="minorHAnsi"/>
          <w:sz w:val="21"/>
          <w:szCs w:val="21"/>
        </w:rPr>
        <w:endnoteReference w:id="36"/>
      </w:r>
      <w:r w:rsidRPr="00A35914">
        <w:rPr>
          <w:rFonts w:cstheme="minorHAnsi"/>
          <w:sz w:val="21"/>
          <w:szCs w:val="21"/>
        </w:rPr>
        <w:t xml:space="preserve"> Experiencing weight stigma can trigger psychological changes (higher stress levels and cortisol) and behavioural changes (binge eating, avoidance of exercise and people) linked to poor metabolic health and increased weight gain.</w:t>
      </w:r>
      <w:r w:rsidRPr="00A35914">
        <w:rPr>
          <w:rStyle w:val="EndnoteReference"/>
          <w:rFonts w:cstheme="minorHAnsi"/>
          <w:sz w:val="21"/>
          <w:szCs w:val="21"/>
        </w:rPr>
        <w:endnoteReference w:id="37"/>
      </w:r>
      <w:r w:rsidRPr="00A35914">
        <w:rPr>
          <w:rFonts w:cstheme="minorHAnsi"/>
          <w:sz w:val="21"/>
          <w:szCs w:val="21"/>
        </w:rPr>
        <w:t xml:space="preserve">  </w:t>
      </w:r>
    </w:p>
    <w:p w14:paraId="5F5B6566" w14:textId="00C4AE16" w:rsidR="00D76FEF" w:rsidRPr="00A35914" w:rsidRDefault="00D76FEF" w:rsidP="00A35914">
      <w:pPr>
        <w:spacing w:after="120" w:line="252" w:lineRule="auto"/>
        <w:ind w:left="-284" w:right="-330"/>
        <w:rPr>
          <w:rFonts w:cstheme="minorHAnsi"/>
          <w:sz w:val="21"/>
          <w:szCs w:val="21"/>
          <w:lang w:val="en-US"/>
        </w:rPr>
      </w:pPr>
      <w:r w:rsidRPr="00A35914">
        <w:rPr>
          <w:rFonts w:cstheme="minorHAnsi"/>
          <w:sz w:val="21"/>
          <w:szCs w:val="21"/>
        </w:rPr>
        <w:t>Research on adolescent girls and boys has found that weight-based victimisation in adolescence can lead to increased risk of depression, low self-esteem, suicidal ideation and poor body image, higher levels of disordered eating, harmful weight control behaviours, weight gain and lower levels of physical activity.</w:t>
      </w:r>
      <w:r w:rsidRPr="00A35914">
        <w:rPr>
          <w:rStyle w:val="EndnoteReference"/>
          <w:rFonts w:cstheme="minorHAnsi"/>
          <w:sz w:val="21"/>
          <w:szCs w:val="21"/>
        </w:rPr>
        <w:endnoteReference w:id="38"/>
      </w:r>
      <w:r w:rsidRPr="00A35914">
        <w:rPr>
          <w:rFonts w:cstheme="minorHAnsi"/>
          <w:sz w:val="21"/>
          <w:szCs w:val="21"/>
        </w:rPr>
        <w:t xml:space="preserve"> </w:t>
      </w:r>
    </w:p>
    <w:p w14:paraId="504DF2FD" w14:textId="77DFEA50" w:rsidR="00D76FEF" w:rsidRPr="00A35914" w:rsidRDefault="00D76FEF" w:rsidP="00A35914">
      <w:pPr>
        <w:spacing w:after="120" w:line="252" w:lineRule="auto"/>
        <w:ind w:left="-284" w:right="-330"/>
        <w:rPr>
          <w:rFonts w:cstheme="minorHAnsi"/>
          <w:sz w:val="21"/>
          <w:szCs w:val="21"/>
        </w:rPr>
      </w:pPr>
      <w:r w:rsidRPr="00A35914">
        <w:rPr>
          <w:rFonts w:cstheme="minorHAnsi"/>
          <w:sz w:val="21"/>
          <w:szCs w:val="21"/>
        </w:rPr>
        <w:t>Multiple international and Australian studies have found that experiences of weight stigma prevent people in bigger bodies from taking part in health promoting activities like exercising in public as they do not want to be ridiculed or ‘on display’.</w:t>
      </w:r>
      <w:r w:rsidRPr="00A35914">
        <w:rPr>
          <w:rStyle w:val="EndnoteReference"/>
          <w:rFonts w:cstheme="minorHAnsi"/>
          <w:sz w:val="21"/>
          <w:szCs w:val="21"/>
        </w:rPr>
        <w:endnoteReference w:id="39"/>
      </w:r>
      <w:r w:rsidRPr="00A35914">
        <w:rPr>
          <w:rFonts w:cstheme="minorHAnsi"/>
          <w:sz w:val="21"/>
          <w:szCs w:val="21"/>
        </w:rPr>
        <w:t xml:space="preserve"> The National Eating Disorder Collaboration reports that obesity</w:t>
      </w:r>
      <w:r w:rsidR="008A3B5A" w:rsidRPr="00A35914">
        <w:rPr>
          <w:rFonts w:cstheme="minorHAnsi"/>
          <w:sz w:val="21"/>
          <w:szCs w:val="21"/>
        </w:rPr>
        <w:t xml:space="preserve"> </w:t>
      </w:r>
      <w:r w:rsidRPr="00A35914">
        <w:rPr>
          <w:rFonts w:cstheme="minorHAnsi"/>
          <w:sz w:val="21"/>
          <w:szCs w:val="21"/>
        </w:rPr>
        <w:t>prevention campaigns can increase eating disorder risk factors such as preoccupation with body weight or shape, and restrictive eating.</w:t>
      </w:r>
      <w:r w:rsidRPr="00A35914">
        <w:rPr>
          <w:rStyle w:val="EndnoteReference"/>
          <w:rFonts w:cstheme="minorHAnsi"/>
          <w:sz w:val="21"/>
          <w:szCs w:val="21"/>
        </w:rPr>
        <w:endnoteReference w:id="40"/>
      </w:r>
    </w:p>
    <w:p w14:paraId="596FB431" w14:textId="622F97C5" w:rsidR="00D76FEF" w:rsidRPr="00A35914" w:rsidRDefault="00D76FEF" w:rsidP="00A35914">
      <w:pPr>
        <w:spacing w:after="120" w:line="252" w:lineRule="auto"/>
        <w:ind w:left="-284" w:right="-330"/>
        <w:rPr>
          <w:rFonts w:cstheme="minorHAnsi"/>
          <w:b/>
          <w:sz w:val="21"/>
          <w:szCs w:val="21"/>
          <w:u w:val="single"/>
        </w:rPr>
      </w:pPr>
      <w:r w:rsidRPr="00A35914">
        <w:rPr>
          <w:rFonts w:cstheme="minorHAnsi"/>
          <w:b/>
          <w:sz w:val="21"/>
          <w:szCs w:val="21"/>
          <w:u w:val="single"/>
        </w:rPr>
        <w:t xml:space="preserve">Recognise the </w:t>
      </w:r>
      <w:r w:rsidR="00E50937" w:rsidRPr="00A35914">
        <w:rPr>
          <w:rFonts w:cstheme="minorHAnsi"/>
          <w:b/>
          <w:sz w:val="21"/>
          <w:szCs w:val="21"/>
          <w:u w:val="single"/>
        </w:rPr>
        <w:t xml:space="preserve">lived experience and </w:t>
      </w:r>
      <w:r w:rsidRPr="00A35914">
        <w:rPr>
          <w:rFonts w:cstheme="minorHAnsi"/>
          <w:b/>
          <w:sz w:val="21"/>
          <w:szCs w:val="21"/>
          <w:u w:val="single"/>
        </w:rPr>
        <w:t>expertise of people in bigger bodies</w:t>
      </w:r>
    </w:p>
    <w:p w14:paraId="2D60A54D" w14:textId="74F135CB" w:rsidR="00D76FEF" w:rsidRPr="00A35914" w:rsidRDefault="00D76FEF" w:rsidP="00A35914">
      <w:pPr>
        <w:spacing w:after="120" w:line="252" w:lineRule="auto"/>
        <w:ind w:left="-284" w:right="-330"/>
        <w:rPr>
          <w:rFonts w:cstheme="minorHAnsi"/>
          <w:sz w:val="21"/>
          <w:szCs w:val="21"/>
          <w:lang w:val="en-US"/>
        </w:rPr>
      </w:pPr>
      <w:r w:rsidRPr="00A35914">
        <w:rPr>
          <w:rFonts w:cstheme="minorHAnsi"/>
          <w:sz w:val="21"/>
          <w:szCs w:val="21"/>
        </w:rPr>
        <w:t xml:space="preserve">People in bigger bodies are rarely, if ever, consulted regarding health interventions, even when they are the target audience. </w:t>
      </w:r>
      <w:r w:rsidR="00045796" w:rsidRPr="00A35914">
        <w:rPr>
          <w:rFonts w:cstheme="minorHAnsi"/>
          <w:sz w:val="21"/>
          <w:szCs w:val="21"/>
        </w:rPr>
        <w:t xml:space="preserve">WHV recommends that the strategy and ensuing actions are co-designed by people in bigger bodies as they are best placed to identify the barriers and enablers for improving their health. </w:t>
      </w:r>
      <w:r w:rsidRPr="00A35914">
        <w:rPr>
          <w:rFonts w:cstheme="minorHAnsi"/>
          <w:sz w:val="21"/>
          <w:szCs w:val="21"/>
          <w:lang w:val="en-US"/>
        </w:rPr>
        <w:t xml:space="preserve">For example, </w:t>
      </w:r>
      <w:r w:rsidR="00045796" w:rsidRPr="00A35914">
        <w:rPr>
          <w:rFonts w:cstheme="minorHAnsi"/>
          <w:sz w:val="21"/>
          <w:szCs w:val="21"/>
          <w:lang w:val="en-US"/>
        </w:rPr>
        <w:t>a</w:t>
      </w:r>
      <w:r w:rsidRPr="00A35914">
        <w:rPr>
          <w:rFonts w:cstheme="minorHAnsi"/>
          <w:sz w:val="21"/>
          <w:szCs w:val="21"/>
          <w:lang w:val="en-US"/>
        </w:rPr>
        <w:t xml:space="preserve"> Gold Coast Community Jury on Obesity </w:t>
      </w:r>
      <w:r w:rsidR="00045796" w:rsidRPr="00A35914">
        <w:rPr>
          <w:rFonts w:cstheme="minorHAnsi"/>
          <w:sz w:val="21"/>
          <w:szCs w:val="21"/>
          <w:lang w:val="en-US"/>
        </w:rPr>
        <w:t>reported that weight stigma was a major barrier to socialisation and service access and that safe and inclusive environments were needed for people of size to exercise</w:t>
      </w:r>
      <w:r w:rsidRPr="00A35914">
        <w:rPr>
          <w:rFonts w:cstheme="minorHAnsi"/>
          <w:sz w:val="21"/>
          <w:szCs w:val="21"/>
          <w:lang w:val="en-US"/>
        </w:rPr>
        <w:t>.</w:t>
      </w:r>
      <w:r w:rsidRPr="00A35914">
        <w:rPr>
          <w:rStyle w:val="EndnoteReference"/>
          <w:rFonts w:cstheme="minorHAnsi"/>
          <w:sz w:val="21"/>
          <w:szCs w:val="21"/>
          <w:lang w:val="en-US"/>
        </w:rPr>
        <w:endnoteReference w:id="41"/>
      </w:r>
      <w:r w:rsidRPr="00A35914">
        <w:rPr>
          <w:rFonts w:cstheme="minorHAnsi"/>
          <w:sz w:val="21"/>
          <w:szCs w:val="21"/>
          <w:lang w:val="en-US"/>
        </w:rPr>
        <w:t xml:space="preserve"> </w:t>
      </w:r>
    </w:p>
    <w:p w14:paraId="6FB24B38" w14:textId="77777777" w:rsidR="00D76FEF" w:rsidRPr="00A35914" w:rsidRDefault="00D76FEF" w:rsidP="00A35914">
      <w:pPr>
        <w:spacing w:after="120" w:line="252" w:lineRule="auto"/>
        <w:ind w:left="-284" w:right="-330"/>
        <w:rPr>
          <w:rFonts w:cstheme="minorHAnsi"/>
          <w:b/>
          <w:sz w:val="21"/>
          <w:szCs w:val="21"/>
          <w:u w:val="single"/>
        </w:rPr>
      </w:pPr>
      <w:r w:rsidRPr="00A35914">
        <w:rPr>
          <w:rFonts w:cstheme="minorHAnsi"/>
          <w:b/>
          <w:sz w:val="21"/>
          <w:szCs w:val="21"/>
          <w:u w:val="single"/>
        </w:rPr>
        <w:lastRenderedPageBreak/>
        <w:t>Reduce weight stigma among health professionals</w:t>
      </w:r>
    </w:p>
    <w:p w14:paraId="25FC91CA" w14:textId="5854A4F1" w:rsidR="00D76FEF" w:rsidRPr="00A35914" w:rsidRDefault="00D76FEF" w:rsidP="00A35914">
      <w:pPr>
        <w:spacing w:after="120" w:line="252" w:lineRule="auto"/>
        <w:ind w:left="-284" w:right="-330"/>
        <w:rPr>
          <w:rFonts w:cstheme="minorHAnsi"/>
          <w:sz w:val="21"/>
          <w:szCs w:val="21"/>
        </w:rPr>
      </w:pPr>
      <w:r w:rsidRPr="00A35914">
        <w:rPr>
          <w:rFonts w:cstheme="minorHAnsi"/>
          <w:sz w:val="21"/>
          <w:szCs w:val="21"/>
        </w:rPr>
        <w:t xml:space="preserve">Weight stigma impacts a person’s access to healthcare and the quality of care </w:t>
      </w:r>
      <w:r w:rsidR="0062640F" w:rsidRPr="00A35914">
        <w:rPr>
          <w:rFonts w:cstheme="minorHAnsi"/>
          <w:sz w:val="21"/>
          <w:szCs w:val="21"/>
        </w:rPr>
        <w:t>received and</w:t>
      </w:r>
      <w:r w:rsidR="00045796" w:rsidRPr="00A35914">
        <w:rPr>
          <w:rFonts w:cstheme="minorHAnsi"/>
          <w:sz w:val="21"/>
          <w:szCs w:val="21"/>
        </w:rPr>
        <w:t xml:space="preserve"> should be considered under the strategy’s </w:t>
      </w:r>
      <w:r w:rsidR="008A3B5A" w:rsidRPr="00A35914">
        <w:rPr>
          <w:rFonts w:cstheme="minorHAnsi"/>
          <w:sz w:val="21"/>
          <w:szCs w:val="21"/>
        </w:rPr>
        <w:t>section on building the workforce</w:t>
      </w:r>
      <w:r w:rsidRPr="00A35914">
        <w:rPr>
          <w:rFonts w:cstheme="minorHAnsi"/>
          <w:sz w:val="21"/>
          <w:szCs w:val="21"/>
        </w:rPr>
        <w:t>. Women in bigger bodies often delay going to the doctor for health issues, which can lead to presenting with more advanced health issues.</w:t>
      </w:r>
      <w:r w:rsidRPr="00A35914">
        <w:rPr>
          <w:rFonts w:cstheme="minorHAnsi"/>
          <w:sz w:val="21"/>
          <w:szCs w:val="21"/>
          <w:vertAlign w:val="superscript"/>
        </w:rPr>
        <w:endnoteReference w:id="42"/>
      </w:r>
      <w:r w:rsidRPr="00A35914">
        <w:rPr>
          <w:rFonts w:cstheme="minorHAnsi"/>
          <w:sz w:val="21"/>
          <w:szCs w:val="21"/>
          <w:vertAlign w:val="superscript"/>
        </w:rPr>
        <w:t xml:space="preserve">  </w:t>
      </w:r>
    </w:p>
    <w:p w14:paraId="6571C254" w14:textId="3DE81A89" w:rsidR="001C49F0" w:rsidRPr="00A35914" w:rsidRDefault="00D76FEF" w:rsidP="00A35914">
      <w:pPr>
        <w:spacing w:after="120" w:line="252" w:lineRule="auto"/>
        <w:ind w:left="-284" w:right="-330"/>
        <w:rPr>
          <w:rFonts w:cstheme="minorHAnsi"/>
          <w:sz w:val="21"/>
          <w:szCs w:val="21"/>
        </w:rPr>
      </w:pPr>
      <w:r w:rsidRPr="00A35914">
        <w:rPr>
          <w:rFonts w:cstheme="minorHAnsi"/>
          <w:sz w:val="21"/>
          <w:szCs w:val="21"/>
        </w:rPr>
        <w:t>Australian and international research shows that health professionals underestimate their bigger patients’ weight loss attempts, feeding into stereotypes that people with a high BMI are unmotivated.</w:t>
      </w:r>
      <w:r w:rsidRPr="00A35914">
        <w:rPr>
          <w:rStyle w:val="EndnoteReference"/>
          <w:rFonts w:cstheme="minorHAnsi"/>
          <w:sz w:val="21"/>
          <w:szCs w:val="21"/>
        </w:rPr>
        <w:endnoteReference w:id="43"/>
      </w:r>
      <w:r w:rsidRPr="00A35914">
        <w:rPr>
          <w:rFonts w:cstheme="minorHAnsi"/>
          <w:sz w:val="21"/>
          <w:szCs w:val="21"/>
        </w:rPr>
        <w:t xml:space="preserve"> They may also over-attribute a patient’s symptoms and health issues to weight, therefore failing to consider treatment beyond weight loss or to recommend further diagnostic testing.</w:t>
      </w:r>
      <w:r w:rsidRPr="00A35914">
        <w:rPr>
          <w:rStyle w:val="EndnoteReference"/>
          <w:rFonts w:cstheme="minorHAnsi"/>
          <w:sz w:val="21"/>
          <w:szCs w:val="21"/>
        </w:rPr>
        <w:endnoteReference w:id="44"/>
      </w:r>
      <w:r w:rsidRPr="00A35914">
        <w:rPr>
          <w:rFonts w:cstheme="minorHAnsi"/>
          <w:sz w:val="21"/>
          <w:szCs w:val="21"/>
        </w:rPr>
        <w:t xml:space="preserve"> Even health professionals who specialise in obesity-related issues report high levels of anti-fat bias, and increasing numbers have endorsed explicit anti-fat sentiments in recent years.</w:t>
      </w:r>
      <w:r w:rsidRPr="00A35914">
        <w:rPr>
          <w:rFonts w:cstheme="minorHAnsi"/>
          <w:sz w:val="21"/>
          <w:szCs w:val="21"/>
          <w:vertAlign w:val="superscript"/>
        </w:rPr>
        <w:endnoteReference w:id="45"/>
      </w:r>
      <w:r w:rsidRPr="00A35914">
        <w:rPr>
          <w:rFonts w:cstheme="minorHAnsi"/>
          <w:sz w:val="21"/>
          <w:szCs w:val="21"/>
        </w:rPr>
        <w:t xml:space="preserve"> </w:t>
      </w:r>
      <w:r w:rsidR="001C49F0" w:rsidRPr="00A35914">
        <w:rPr>
          <w:rFonts w:cstheme="minorHAnsi"/>
          <w:sz w:val="21"/>
          <w:szCs w:val="21"/>
        </w:rPr>
        <w:t>This highlights the need for weight stigma training for doctors and medical students.</w:t>
      </w:r>
    </w:p>
    <w:p w14:paraId="58390973" w14:textId="77777777" w:rsidR="009804CA" w:rsidRPr="00A35914" w:rsidRDefault="009804CA" w:rsidP="00A35914">
      <w:pPr>
        <w:spacing w:after="120" w:line="252" w:lineRule="auto"/>
        <w:ind w:left="-284" w:right="-330"/>
        <w:rPr>
          <w:rFonts w:cstheme="minorHAnsi"/>
          <w:b/>
          <w:sz w:val="21"/>
          <w:szCs w:val="21"/>
        </w:rPr>
      </w:pPr>
      <w:r w:rsidRPr="00A35914">
        <w:rPr>
          <w:rFonts w:cstheme="minorHAnsi"/>
          <w:b/>
          <w:sz w:val="21"/>
          <w:szCs w:val="21"/>
        </w:rPr>
        <w:t>Recommendations:</w:t>
      </w:r>
    </w:p>
    <w:p w14:paraId="1F2C6110" w14:textId="4111D1B0" w:rsidR="009804CA" w:rsidRPr="00A35914" w:rsidRDefault="004C7A20" w:rsidP="00A35914">
      <w:pPr>
        <w:pStyle w:val="ListParagraph"/>
        <w:numPr>
          <w:ilvl w:val="0"/>
          <w:numId w:val="18"/>
        </w:numPr>
        <w:shd w:val="clear" w:color="auto" w:fill="DEEAF6" w:themeFill="accent5" w:themeFillTint="33"/>
        <w:spacing w:after="80" w:line="252" w:lineRule="auto"/>
        <w:ind w:left="357" w:right="-329" w:hanging="357"/>
        <w:contextualSpacing w:val="0"/>
        <w:rPr>
          <w:rFonts w:cstheme="minorHAnsi"/>
          <w:sz w:val="21"/>
          <w:szCs w:val="21"/>
        </w:rPr>
      </w:pPr>
      <w:r>
        <w:rPr>
          <w:rFonts w:cstheme="minorHAnsi"/>
          <w:sz w:val="21"/>
          <w:szCs w:val="21"/>
        </w:rPr>
        <w:t xml:space="preserve">Amend </w:t>
      </w:r>
      <w:r w:rsidR="00D829F8" w:rsidRPr="00A35914">
        <w:rPr>
          <w:rFonts w:cstheme="minorHAnsi"/>
          <w:sz w:val="21"/>
          <w:szCs w:val="21"/>
        </w:rPr>
        <w:t xml:space="preserve">Proposed Enabler 1: </w:t>
      </w:r>
      <w:r w:rsidR="009804CA" w:rsidRPr="00A35914">
        <w:rPr>
          <w:rFonts w:cstheme="minorHAnsi"/>
          <w:sz w:val="21"/>
          <w:szCs w:val="21"/>
        </w:rPr>
        <w:t xml:space="preserve">Governance should include a reference group comprised of people with lived experience of higher body weight from a range of socio-economic backgrounds. Their expertise should be used to frame health promotion activities, strategy implementation and evaluation. </w:t>
      </w:r>
    </w:p>
    <w:p w14:paraId="049465F4" w14:textId="1972EB89" w:rsidR="009804CA" w:rsidRPr="00A35914" w:rsidRDefault="004C7A20" w:rsidP="00A35914">
      <w:pPr>
        <w:pStyle w:val="ListParagraph"/>
        <w:numPr>
          <w:ilvl w:val="0"/>
          <w:numId w:val="18"/>
        </w:numPr>
        <w:shd w:val="clear" w:color="auto" w:fill="DEEAF6" w:themeFill="accent5" w:themeFillTint="33"/>
        <w:spacing w:after="80" w:line="252" w:lineRule="auto"/>
        <w:ind w:left="357" w:right="-329" w:hanging="357"/>
        <w:contextualSpacing w:val="0"/>
        <w:rPr>
          <w:rFonts w:cstheme="minorHAnsi"/>
          <w:sz w:val="21"/>
          <w:szCs w:val="21"/>
        </w:rPr>
      </w:pPr>
      <w:r>
        <w:rPr>
          <w:rFonts w:cstheme="minorHAnsi"/>
          <w:sz w:val="21"/>
          <w:szCs w:val="21"/>
        </w:rPr>
        <w:t xml:space="preserve">Amend </w:t>
      </w:r>
      <w:r w:rsidR="009804CA" w:rsidRPr="00A35914">
        <w:rPr>
          <w:rFonts w:cstheme="minorHAnsi"/>
          <w:sz w:val="21"/>
          <w:szCs w:val="21"/>
        </w:rPr>
        <w:t xml:space="preserve">Proposed Enabler 3: </w:t>
      </w:r>
      <w:r w:rsidR="009804CA" w:rsidRPr="00A35914">
        <w:rPr>
          <w:rFonts w:cstheme="minorHAnsi"/>
          <w:i/>
          <w:sz w:val="21"/>
          <w:szCs w:val="21"/>
        </w:rPr>
        <w:t>Build the Workforce</w:t>
      </w:r>
      <w:r w:rsidR="009804CA" w:rsidRPr="00A35914">
        <w:rPr>
          <w:rFonts w:cstheme="minorHAnsi"/>
          <w:sz w:val="21"/>
          <w:szCs w:val="21"/>
        </w:rPr>
        <w:t xml:space="preserve"> should include </w:t>
      </w:r>
      <w:r w:rsidR="00E46E75" w:rsidRPr="00A35914">
        <w:rPr>
          <w:rFonts w:cstheme="minorHAnsi"/>
          <w:sz w:val="21"/>
          <w:szCs w:val="21"/>
        </w:rPr>
        <w:t>training to reduce weight stigma among health professionals.</w:t>
      </w:r>
    </w:p>
    <w:p w14:paraId="20CD23CB" w14:textId="77777777" w:rsidR="008A3B5A" w:rsidRPr="00CD62B1" w:rsidRDefault="00265ACC" w:rsidP="00A35914">
      <w:pPr>
        <w:pStyle w:val="Heading3"/>
        <w:spacing w:before="0" w:after="120" w:line="252" w:lineRule="auto"/>
        <w:ind w:left="-284" w:right="-329"/>
        <w:rPr>
          <w:rFonts w:cstheme="minorHAnsi"/>
          <w:sz w:val="28"/>
          <w:szCs w:val="28"/>
        </w:rPr>
      </w:pPr>
      <w:r w:rsidRPr="00CD62B1">
        <w:rPr>
          <w:rFonts w:cstheme="minorHAnsi"/>
          <w:sz w:val="28"/>
          <w:szCs w:val="28"/>
        </w:rPr>
        <w:t>Con</w:t>
      </w:r>
      <w:r w:rsidR="008A3B5A" w:rsidRPr="00CD62B1">
        <w:rPr>
          <w:rFonts w:cstheme="minorHAnsi"/>
          <w:sz w:val="28"/>
          <w:szCs w:val="28"/>
        </w:rPr>
        <w:t>tact</w:t>
      </w:r>
    </w:p>
    <w:p w14:paraId="057FB881" w14:textId="70CAACD7" w:rsidR="00265ACC" w:rsidRPr="00A35914" w:rsidRDefault="008A3B5A" w:rsidP="00A35914">
      <w:pPr>
        <w:spacing w:after="120" w:line="252" w:lineRule="auto"/>
        <w:ind w:left="-284" w:right="-330"/>
        <w:rPr>
          <w:rFonts w:cstheme="minorHAnsi"/>
          <w:sz w:val="21"/>
          <w:szCs w:val="21"/>
        </w:rPr>
      </w:pPr>
      <w:r w:rsidRPr="00A35914">
        <w:rPr>
          <w:rFonts w:cstheme="minorHAnsi"/>
          <w:sz w:val="21"/>
          <w:szCs w:val="21"/>
        </w:rPr>
        <w:t xml:space="preserve">Dianne Hill, </w:t>
      </w:r>
      <w:r w:rsidRPr="00A35914">
        <w:rPr>
          <w:rFonts w:cstheme="minorHAnsi"/>
          <w:b/>
          <w:sz w:val="21"/>
          <w:szCs w:val="21"/>
        </w:rPr>
        <w:t>Chief Executive Officer</w:t>
      </w:r>
      <w:r w:rsidRPr="00A35914">
        <w:rPr>
          <w:rFonts w:cstheme="minorHAnsi"/>
          <w:sz w:val="21"/>
          <w:szCs w:val="21"/>
        </w:rPr>
        <w:t>, (03) 9664 9300, ceo@whv.org.au</w:t>
      </w:r>
      <w:r w:rsidR="00265ACC" w:rsidRPr="00A35914">
        <w:rPr>
          <w:rFonts w:cstheme="minorHAnsi"/>
          <w:sz w:val="21"/>
          <w:szCs w:val="21"/>
        </w:rPr>
        <w:t xml:space="preserve"> </w:t>
      </w:r>
    </w:p>
    <w:p w14:paraId="12771B9B" w14:textId="55E5A3D9" w:rsidR="004C7A20" w:rsidRDefault="004C7A20">
      <w:pPr>
        <w:rPr>
          <w:rFonts w:eastAsiaTheme="majorEastAsia" w:cstheme="minorHAnsi"/>
          <w:b/>
          <w:bCs/>
          <w:color w:val="E57200"/>
          <w:lang w:eastAsia="en-AU"/>
        </w:rPr>
      </w:pPr>
    </w:p>
    <w:p w14:paraId="69DAA894" w14:textId="123850FA" w:rsidR="00905C27" w:rsidRPr="004C7A20" w:rsidRDefault="004C7A20" w:rsidP="004C7A20">
      <w:pPr>
        <w:pStyle w:val="Heading3"/>
        <w:spacing w:before="0" w:after="120" w:line="252" w:lineRule="auto"/>
        <w:ind w:left="-284" w:right="-329"/>
        <w:rPr>
          <w:rFonts w:cstheme="minorHAnsi"/>
          <w:sz w:val="28"/>
          <w:szCs w:val="28"/>
        </w:rPr>
      </w:pPr>
      <w:r w:rsidRPr="004C7A20">
        <w:rPr>
          <w:rFonts w:cstheme="minorHAnsi"/>
          <w:sz w:val="28"/>
          <w:szCs w:val="28"/>
        </w:rPr>
        <w:t>Endnotes</w:t>
      </w:r>
    </w:p>
    <w:sectPr w:rsidR="00905C27" w:rsidRPr="004C7A20" w:rsidSect="00270448">
      <w:headerReference w:type="default" r:id="rId13"/>
      <w:headerReference w:type="first" r:id="rId14"/>
      <w:pgSz w:w="11906" w:h="16838"/>
      <w:pgMar w:top="602" w:right="1440" w:bottom="851"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E65B1" w14:textId="77777777" w:rsidR="00F413E8" w:rsidRDefault="00F413E8" w:rsidP="009804CA">
      <w:pPr>
        <w:spacing w:after="0" w:line="240" w:lineRule="auto"/>
      </w:pPr>
      <w:r>
        <w:separator/>
      </w:r>
    </w:p>
  </w:endnote>
  <w:endnote w:type="continuationSeparator" w:id="0">
    <w:p w14:paraId="521D5630" w14:textId="77777777" w:rsidR="00F413E8" w:rsidRDefault="00F413E8" w:rsidP="009804CA">
      <w:pPr>
        <w:spacing w:after="0" w:line="240" w:lineRule="auto"/>
      </w:pPr>
      <w:r>
        <w:continuationSeparator/>
      </w:r>
    </w:p>
  </w:endnote>
  <w:endnote w:id="1">
    <w:p w14:paraId="0ACBFB2F" w14:textId="34150431" w:rsidR="00D76FEF" w:rsidRPr="00DA5CB5" w:rsidRDefault="004C7A20" w:rsidP="00C067FD">
      <w:pPr>
        <w:pStyle w:val="EndnoteText"/>
        <w:tabs>
          <w:tab w:val="left" w:pos="181"/>
        </w:tabs>
        <w:ind w:left="-170" w:right="-170"/>
        <w:rPr>
          <w:rFonts w:cstheme="minorHAnsi"/>
          <w:sz w:val="18"/>
        </w:rPr>
      </w:pPr>
      <w:r w:rsidRPr="00DA5CB5">
        <w:rPr>
          <w:rFonts w:cstheme="minorHAnsi"/>
          <w:sz w:val="18"/>
        </w:rPr>
        <w:t xml:space="preserve">    </w:t>
      </w:r>
      <w:r w:rsidR="00D76FEF" w:rsidRPr="00DA5CB5">
        <w:rPr>
          <w:rStyle w:val="EndnoteReference"/>
          <w:rFonts w:cstheme="minorHAnsi"/>
          <w:sz w:val="18"/>
        </w:rPr>
        <w:endnoteRef/>
      </w:r>
      <w:r w:rsidR="00D76FEF" w:rsidRPr="00DA5CB5">
        <w:rPr>
          <w:rFonts w:cstheme="minorHAnsi"/>
          <w:sz w:val="18"/>
        </w:rPr>
        <w:t xml:space="preserve"> </w:t>
      </w:r>
      <w:r w:rsidR="006E38F2" w:rsidRPr="00DA5CB5">
        <w:rPr>
          <w:rFonts w:cstheme="minorHAnsi"/>
          <w:sz w:val="18"/>
        </w:rPr>
        <w:t xml:space="preserve">WHO (2014) </w:t>
      </w:r>
      <w:hyperlink r:id="rId1" w:history="1">
        <w:r w:rsidR="006E38F2" w:rsidRPr="00DA5CB5">
          <w:rPr>
            <w:rStyle w:val="Hyperlink"/>
            <w:rFonts w:cstheme="minorHAnsi"/>
            <w:sz w:val="18"/>
          </w:rPr>
          <w:t>Social determinants of mental health</w:t>
        </w:r>
      </w:hyperlink>
      <w:r w:rsidR="006E38F2" w:rsidRPr="00DA5CB5">
        <w:rPr>
          <w:rFonts w:cstheme="minorHAnsi"/>
          <w:sz w:val="18"/>
        </w:rPr>
        <w:t>. World Health Organization. Geneva.</w:t>
      </w:r>
    </w:p>
  </w:endnote>
  <w:endnote w:id="2">
    <w:p w14:paraId="1F91D89C" w14:textId="73EF4E47" w:rsidR="00223E0E" w:rsidRPr="00DA5CB5" w:rsidRDefault="00223E0E" w:rsidP="00223E0E">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National Eating Disorders Collaboration (2017) Eating Disorders and Obesity Treatments: A systematic review of the physical, psychological and eating disorders outcomes from obesity treatments, Sydney.</w:t>
      </w:r>
    </w:p>
  </w:endnote>
  <w:endnote w:id="3">
    <w:p w14:paraId="3F0D4E13" w14:textId="77777777" w:rsidR="004E6386" w:rsidRPr="00DA5CB5" w:rsidRDefault="004E6386" w:rsidP="004E6386">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w:t>
      </w:r>
      <w:proofErr w:type="spellStart"/>
      <w:r w:rsidRPr="00DA5CB5">
        <w:rPr>
          <w:rFonts w:cstheme="minorHAnsi"/>
          <w:sz w:val="18"/>
        </w:rPr>
        <w:t>Tylka</w:t>
      </w:r>
      <w:proofErr w:type="spellEnd"/>
      <w:r w:rsidRPr="00DA5CB5">
        <w:rPr>
          <w:rFonts w:cstheme="minorHAnsi"/>
          <w:sz w:val="18"/>
        </w:rPr>
        <w:t xml:space="preserve">, T. L., </w:t>
      </w:r>
      <w:proofErr w:type="spellStart"/>
      <w:r w:rsidRPr="00DA5CB5">
        <w:rPr>
          <w:rFonts w:cstheme="minorHAnsi"/>
          <w:sz w:val="18"/>
        </w:rPr>
        <w:t>Annunziato</w:t>
      </w:r>
      <w:proofErr w:type="spellEnd"/>
      <w:r w:rsidRPr="00DA5CB5">
        <w:rPr>
          <w:rFonts w:cstheme="minorHAnsi"/>
          <w:sz w:val="18"/>
        </w:rPr>
        <w:t xml:space="preserve">, R. A., </w:t>
      </w:r>
      <w:proofErr w:type="spellStart"/>
      <w:r w:rsidRPr="00DA5CB5">
        <w:rPr>
          <w:rFonts w:cstheme="minorHAnsi"/>
          <w:sz w:val="18"/>
        </w:rPr>
        <w:t>Burgard</w:t>
      </w:r>
      <w:proofErr w:type="spellEnd"/>
      <w:r w:rsidRPr="00DA5CB5">
        <w:rPr>
          <w:rFonts w:cstheme="minorHAnsi"/>
          <w:sz w:val="18"/>
        </w:rPr>
        <w:t xml:space="preserve">, D., </w:t>
      </w:r>
      <w:proofErr w:type="spellStart"/>
      <w:r w:rsidRPr="00DA5CB5">
        <w:rPr>
          <w:rFonts w:cstheme="minorHAnsi"/>
          <w:sz w:val="18"/>
        </w:rPr>
        <w:t>Danielsdottir</w:t>
      </w:r>
      <w:proofErr w:type="spellEnd"/>
      <w:r w:rsidRPr="00DA5CB5">
        <w:rPr>
          <w:rFonts w:cstheme="minorHAnsi"/>
          <w:sz w:val="18"/>
        </w:rPr>
        <w:t xml:space="preserve">, S., Shuman, E., Davis, C., &amp; </w:t>
      </w:r>
      <w:proofErr w:type="spellStart"/>
      <w:r w:rsidRPr="00DA5CB5">
        <w:rPr>
          <w:rFonts w:cstheme="minorHAnsi"/>
          <w:sz w:val="18"/>
        </w:rPr>
        <w:t>Calogero</w:t>
      </w:r>
      <w:proofErr w:type="spellEnd"/>
      <w:r w:rsidRPr="00DA5CB5">
        <w:rPr>
          <w:rFonts w:cstheme="minorHAnsi"/>
          <w:sz w:val="18"/>
        </w:rPr>
        <w:t xml:space="preserve">, R. M. (2014). The weight-inclusive versus weight-normative approach to health: Evaluating the evidence for prioritising well-being over weight loss. </w:t>
      </w:r>
      <w:r w:rsidRPr="00DA5CB5">
        <w:rPr>
          <w:rFonts w:cstheme="minorHAnsi"/>
          <w:i/>
          <w:sz w:val="18"/>
        </w:rPr>
        <w:t>Journal of Obesity</w:t>
      </w:r>
      <w:r w:rsidRPr="00DA5CB5">
        <w:rPr>
          <w:rFonts w:cstheme="minorHAnsi"/>
          <w:sz w:val="18"/>
        </w:rPr>
        <w:t xml:space="preserve">, xx, 18. </w:t>
      </w:r>
    </w:p>
  </w:endnote>
  <w:endnote w:id="4">
    <w:p w14:paraId="360F6FC4" w14:textId="2899B903" w:rsidR="00223E0E" w:rsidRPr="00DA5CB5" w:rsidRDefault="00223E0E" w:rsidP="00223E0E">
      <w:pPr>
        <w:pStyle w:val="EndnoteText"/>
        <w:rPr>
          <w:rFonts w:eastAsia="calibri (body)" w:cstheme="minorHAnsi"/>
          <w:sz w:val="18"/>
        </w:rPr>
      </w:pPr>
      <w:r w:rsidRPr="00DA5CB5">
        <w:rPr>
          <w:rStyle w:val="EndnoteReference"/>
          <w:rFonts w:cstheme="minorHAnsi"/>
          <w:sz w:val="18"/>
        </w:rPr>
        <w:endnoteRef/>
      </w:r>
      <w:r w:rsidRPr="00DA5CB5">
        <w:rPr>
          <w:rFonts w:cstheme="minorHAnsi"/>
          <w:sz w:val="18"/>
        </w:rPr>
        <w:t xml:space="preserve"> </w:t>
      </w:r>
      <w:r w:rsidRPr="00DA5CB5">
        <w:rPr>
          <w:rFonts w:eastAsia="calibri (body)" w:cstheme="minorHAnsi"/>
          <w:sz w:val="18"/>
        </w:rPr>
        <w:t xml:space="preserve">Jovanovski, N. (2017). </w:t>
      </w:r>
      <w:r w:rsidRPr="00DA5CB5">
        <w:rPr>
          <w:rFonts w:eastAsia="calibri (body)" w:cstheme="minorHAnsi"/>
          <w:i/>
          <w:sz w:val="18"/>
        </w:rPr>
        <w:t xml:space="preserve">Digesting femininities: The feminist politics of contemporary food culture. </w:t>
      </w:r>
      <w:r w:rsidRPr="00DA5CB5">
        <w:rPr>
          <w:rFonts w:eastAsia="calibri (body)" w:cstheme="minorHAnsi"/>
          <w:sz w:val="18"/>
        </w:rPr>
        <w:t>New York: Palgrave Macmillan.</w:t>
      </w:r>
    </w:p>
  </w:endnote>
  <w:endnote w:id="5">
    <w:p w14:paraId="63160A73" w14:textId="31EA235F" w:rsidR="00223E0E" w:rsidRPr="00DA5CB5" w:rsidRDefault="00223E0E" w:rsidP="00223E0E">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Hay, P., </w:t>
      </w:r>
      <w:proofErr w:type="spellStart"/>
      <w:r w:rsidRPr="00DA5CB5">
        <w:rPr>
          <w:rFonts w:cstheme="minorHAnsi"/>
          <w:sz w:val="18"/>
        </w:rPr>
        <w:t>Girosi</w:t>
      </w:r>
      <w:proofErr w:type="spellEnd"/>
      <w:r w:rsidRPr="00DA5CB5">
        <w:rPr>
          <w:rFonts w:cstheme="minorHAnsi"/>
          <w:sz w:val="18"/>
        </w:rPr>
        <w:t xml:space="preserve">, F., &amp; Mond, J. (2015). Prevalence and sociodemographic correlates of DSM-5 eating disorders in the Australian population. </w:t>
      </w:r>
      <w:r w:rsidRPr="00DA5CB5">
        <w:rPr>
          <w:rFonts w:cstheme="minorHAnsi"/>
          <w:i/>
          <w:sz w:val="18"/>
        </w:rPr>
        <w:t>Journal of Eating Disorders, 3</w:t>
      </w:r>
      <w:r w:rsidRPr="00DA5CB5">
        <w:rPr>
          <w:rFonts w:cstheme="minorHAnsi"/>
          <w:sz w:val="18"/>
        </w:rPr>
        <w:t>(1), 19.</w:t>
      </w:r>
    </w:p>
  </w:endnote>
  <w:endnote w:id="6">
    <w:p w14:paraId="3F04A835" w14:textId="6ADD37CD" w:rsidR="002C62D1" w:rsidRPr="00DA5CB5" w:rsidRDefault="002C62D1" w:rsidP="002C62D1">
      <w:pPr>
        <w:pStyle w:val="EndnoteText"/>
        <w:rPr>
          <w:rFonts w:cstheme="minorHAnsi"/>
          <w:sz w:val="18"/>
          <w:highlight w:val="yellow"/>
        </w:rPr>
      </w:pPr>
      <w:r w:rsidRPr="00DA5CB5">
        <w:rPr>
          <w:rStyle w:val="EndnoteReference"/>
          <w:rFonts w:cstheme="minorHAnsi"/>
          <w:sz w:val="18"/>
        </w:rPr>
        <w:endnoteRef/>
      </w:r>
      <w:r w:rsidRPr="00DA5CB5">
        <w:rPr>
          <w:rFonts w:cstheme="minorHAnsi"/>
          <w:sz w:val="18"/>
        </w:rPr>
        <w:t xml:space="preserve"> National Eating Disorders Collaboration (n.d.). </w:t>
      </w:r>
      <w:hyperlink r:id="rId2" w:history="1">
        <w:r w:rsidRPr="00DA5CB5">
          <w:rPr>
            <w:rStyle w:val="Hyperlink"/>
            <w:rFonts w:cstheme="minorHAnsi"/>
            <w:sz w:val="18"/>
          </w:rPr>
          <w:t>Risk and protective factors</w:t>
        </w:r>
      </w:hyperlink>
      <w:r w:rsidRPr="00DA5CB5">
        <w:rPr>
          <w:rFonts w:cstheme="minorHAnsi"/>
          <w:sz w:val="18"/>
        </w:rPr>
        <w:t xml:space="preserve">. </w:t>
      </w:r>
    </w:p>
  </w:endnote>
  <w:endnote w:id="7">
    <w:p w14:paraId="2A949916" w14:textId="37672CD5" w:rsidR="00D76FEF" w:rsidRPr="00DA5CB5" w:rsidRDefault="00D76FEF" w:rsidP="00A75802">
      <w:pPr>
        <w:spacing w:after="0" w:line="240" w:lineRule="auto"/>
        <w:rPr>
          <w:rFonts w:cstheme="minorHAnsi"/>
          <w:sz w:val="18"/>
          <w:szCs w:val="20"/>
        </w:rPr>
      </w:pPr>
      <w:r w:rsidRPr="00DA5CB5">
        <w:rPr>
          <w:rFonts w:cstheme="minorHAnsi"/>
          <w:sz w:val="18"/>
          <w:szCs w:val="20"/>
          <w:vertAlign w:val="superscript"/>
        </w:rPr>
        <w:endnoteRef/>
      </w:r>
      <w:r w:rsidRPr="00DA5CB5">
        <w:rPr>
          <w:rFonts w:cstheme="minorHAnsi"/>
          <w:sz w:val="18"/>
          <w:szCs w:val="20"/>
        </w:rPr>
        <w:t xml:space="preserve"> Eating Disorders Australia (2013) </w:t>
      </w:r>
      <w:hyperlink r:id="rId3" w:history="1">
        <w:r w:rsidRPr="00DA5CB5">
          <w:rPr>
            <w:rStyle w:val="Hyperlink"/>
            <w:rFonts w:cstheme="minorHAnsi"/>
            <w:sz w:val="18"/>
            <w:szCs w:val="20"/>
          </w:rPr>
          <w:t>Australians’ body image distorted</w:t>
        </w:r>
      </w:hyperlink>
      <w:r w:rsidRPr="00DA5CB5">
        <w:rPr>
          <w:rFonts w:cstheme="minorHAnsi"/>
          <w:sz w:val="18"/>
          <w:szCs w:val="20"/>
        </w:rPr>
        <w:t xml:space="preserve">. </w:t>
      </w:r>
    </w:p>
  </w:endnote>
  <w:endnote w:id="8">
    <w:p w14:paraId="21C1BD75" w14:textId="059A28C4" w:rsidR="00D76FEF" w:rsidRPr="00DA5CB5" w:rsidRDefault="00D76FEF" w:rsidP="00D4067D">
      <w:pPr>
        <w:pStyle w:val="NormalWeb"/>
        <w:shd w:val="clear" w:color="auto" w:fill="FFFFFF"/>
        <w:tabs>
          <w:tab w:val="left" w:pos="0"/>
        </w:tabs>
        <w:spacing w:before="0" w:beforeAutospacing="0" w:after="0" w:afterAutospacing="0"/>
        <w:rPr>
          <w:rFonts w:asciiTheme="minorHAnsi" w:hAnsiTheme="minorHAnsi" w:cstheme="minorHAnsi"/>
          <w:color w:val="000000"/>
          <w:sz w:val="18"/>
          <w:szCs w:val="20"/>
        </w:rPr>
      </w:pPr>
      <w:r w:rsidRPr="00DA5CB5">
        <w:rPr>
          <w:rFonts w:asciiTheme="minorHAnsi" w:eastAsiaTheme="minorHAnsi" w:hAnsiTheme="minorHAnsi" w:cstheme="minorHAnsi"/>
          <w:sz w:val="18"/>
          <w:szCs w:val="20"/>
          <w:vertAlign w:val="superscript"/>
          <w:lang w:val="en-GB" w:eastAsia="en-US"/>
        </w:rPr>
        <w:endnoteRef/>
      </w:r>
      <w:r w:rsidRPr="00DA5CB5">
        <w:rPr>
          <w:rFonts w:asciiTheme="minorHAnsi" w:eastAsiaTheme="minorHAnsi" w:hAnsiTheme="minorHAnsi" w:cstheme="minorHAnsi"/>
          <w:sz w:val="18"/>
          <w:szCs w:val="20"/>
          <w:vertAlign w:val="superscript"/>
          <w:lang w:val="en-GB" w:eastAsia="en-US"/>
        </w:rPr>
        <w:t xml:space="preserve"> </w:t>
      </w:r>
      <w:r w:rsidRPr="00DA5CB5">
        <w:rPr>
          <w:rFonts w:asciiTheme="minorHAnsi" w:eastAsiaTheme="minorHAnsi" w:hAnsiTheme="minorHAnsi" w:cstheme="minorHAnsi"/>
          <w:sz w:val="18"/>
          <w:szCs w:val="20"/>
          <w:lang w:val="en-GB" w:eastAsia="en-US"/>
        </w:rPr>
        <w:t>Webb, H. J., &amp; Zimmer‐</w:t>
      </w:r>
      <w:proofErr w:type="spellStart"/>
      <w:r w:rsidRPr="00DA5CB5">
        <w:rPr>
          <w:rFonts w:asciiTheme="minorHAnsi" w:eastAsiaTheme="minorHAnsi" w:hAnsiTheme="minorHAnsi" w:cstheme="minorHAnsi"/>
          <w:sz w:val="18"/>
          <w:szCs w:val="20"/>
          <w:lang w:val="en-GB" w:eastAsia="en-US"/>
        </w:rPr>
        <w:t>Gembeck</w:t>
      </w:r>
      <w:proofErr w:type="spellEnd"/>
      <w:r w:rsidRPr="00DA5CB5">
        <w:rPr>
          <w:rFonts w:asciiTheme="minorHAnsi" w:eastAsiaTheme="minorHAnsi" w:hAnsiTheme="minorHAnsi" w:cstheme="minorHAnsi"/>
          <w:sz w:val="18"/>
          <w:szCs w:val="20"/>
          <w:lang w:val="en-GB" w:eastAsia="en-US"/>
        </w:rPr>
        <w:t xml:space="preserve">, M. J. (2014). The role of friends and peers in adolescent body dissatisfaction: A review and critique of 15 years of research. </w:t>
      </w:r>
      <w:r w:rsidRPr="00DA5CB5">
        <w:rPr>
          <w:rFonts w:asciiTheme="minorHAnsi" w:eastAsiaTheme="minorHAnsi" w:hAnsiTheme="minorHAnsi" w:cstheme="minorHAnsi"/>
          <w:i/>
          <w:sz w:val="18"/>
          <w:szCs w:val="20"/>
          <w:lang w:val="en-GB" w:eastAsia="en-US"/>
        </w:rPr>
        <w:t>Journal of Research on Adolescence</w:t>
      </w:r>
      <w:r w:rsidRPr="00DA5CB5">
        <w:rPr>
          <w:rFonts w:asciiTheme="minorHAnsi" w:eastAsiaTheme="minorHAnsi" w:hAnsiTheme="minorHAnsi" w:cstheme="minorHAnsi"/>
          <w:sz w:val="18"/>
          <w:szCs w:val="20"/>
          <w:lang w:val="en-GB" w:eastAsia="en-US"/>
        </w:rPr>
        <w:t xml:space="preserve">, </w:t>
      </w:r>
      <w:r w:rsidRPr="00DA5CB5">
        <w:rPr>
          <w:rFonts w:asciiTheme="minorHAnsi" w:eastAsiaTheme="minorHAnsi" w:hAnsiTheme="minorHAnsi" w:cstheme="minorHAnsi"/>
          <w:i/>
          <w:sz w:val="18"/>
          <w:szCs w:val="20"/>
          <w:lang w:val="en-GB" w:eastAsia="en-US"/>
        </w:rPr>
        <w:t>24</w:t>
      </w:r>
      <w:r w:rsidRPr="00DA5CB5">
        <w:rPr>
          <w:rFonts w:asciiTheme="minorHAnsi" w:eastAsiaTheme="minorHAnsi" w:hAnsiTheme="minorHAnsi" w:cstheme="minorHAnsi"/>
          <w:sz w:val="18"/>
          <w:szCs w:val="20"/>
          <w:lang w:val="en-GB" w:eastAsia="en-US"/>
        </w:rPr>
        <w:t>(4), 564-590.</w:t>
      </w:r>
    </w:p>
  </w:endnote>
  <w:endnote w:id="9">
    <w:p w14:paraId="7F6AF948" w14:textId="2B53304A" w:rsidR="00D76FEF" w:rsidRPr="00DA5CB5" w:rsidRDefault="00D76FEF" w:rsidP="00A75802">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w:t>
      </w:r>
      <w:proofErr w:type="spellStart"/>
      <w:r w:rsidRPr="00DA5CB5">
        <w:rPr>
          <w:rFonts w:cstheme="minorHAnsi"/>
          <w:sz w:val="18"/>
        </w:rPr>
        <w:t>Patte</w:t>
      </w:r>
      <w:proofErr w:type="spellEnd"/>
      <w:r w:rsidRPr="00DA5CB5">
        <w:rPr>
          <w:rFonts w:cstheme="minorHAnsi"/>
          <w:sz w:val="18"/>
        </w:rPr>
        <w:t xml:space="preserve">, K. A., Laxer, R., Wei, Q., &amp; Leatherdale, S. T. (2016). Weight perception and weight-control intention among youth in the COMPASS study. </w:t>
      </w:r>
      <w:r w:rsidRPr="00DA5CB5">
        <w:rPr>
          <w:rFonts w:cstheme="minorHAnsi"/>
          <w:i/>
          <w:sz w:val="18"/>
        </w:rPr>
        <w:t xml:space="preserve">American Journal of Health </w:t>
      </w:r>
      <w:proofErr w:type="spellStart"/>
      <w:r w:rsidRPr="00DA5CB5">
        <w:rPr>
          <w:rFonts w:cstheme="minorHAnsi"/>
          <w:i/>
          <w:sz w:val="18"/>
        </w:rPr>
        <w:t>Behavior</w:t>
      </w:r>
      <w:proofErr w:type="spellEnd"/>
      <w:r w:rsidRPr="00DA5CB5">
        <w:rPr>
          <w:rFonts w:cstheme="minorHAnsi"/>
          <w:i/>
          <w:sz w:val="18"/>
        </w:rPr>
        <w:t>, 40</w:t>
      </w:r>
      <w:r w:rsidRPr="00DA5CB5">
        <w:rPr>
          <w:rFonts w:cstheme="minorHAnsi"/>
          <w:sz w:val="18"/>
        </w:rPr>
        <w:t xml:space="preserve">(5), 614-623. </w:t>
      </w:r>
    </w:p>
  </w:endnote>
  <w:endnote w:id="10">
    <w:p w14:paraId="46C6FB95" w14:textId="526BF04F" w:rsidR="00D76FEF" w:rsidRPr="00DA5CB5" w:rsidRDefault="00D76FEF" w:rsidP="00A75802">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EDV (2016</w:t>
      </w:r>
      <w:hyperlink r:id="rId4" w:history="1">
        <w:r w:rsidRPr="00DA5CB5">
          <w:rPr>
            <w:rStyle w:val="Hyperlink"/>
            <w:rFonts w:cstheme="minorHAnsi"/>
            <w:sz w:val="18"/>
          </w:rPr>
          <w:t>) High risk groups [Webpage].</w:t>
        </w:r>
      </w:hyperlink>
      <w:r w:rsidRPr="00DA5CB5">
        <w:rPr>
          <w:rFonts w:cstheme="minorHAnsi"/>
          <w:sz w:val="18"/>
        </w:rPr>
        <w:t xml:space="preserve"> Eating Disorders Victoria, Abbotsford, Vic. </w:t>
      </w:r>
    </w:p>
  </w:endnote>
  <w:endnote w:id="11">
    <w:p w14:paraId="5AAE5DCA" w14:textId="11EEDF6B" w:rsidR="00D76FEF" w:rsidRPr="00DA5CB5" w:rsidRDefault="00D76FEF" w:rsidP="00A75802">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w:t>
      </w:r>
      <w:r w:rsidRPr="00DA5CB5">
        <w:rPr>
          <w:rFonts w:cstheme="minorHAnsi"/>
          <w:noProof/>
          <w:sz w:val="18"/>
          <w:lang w:val="en-US"/>
        </w:rPr>
        <w:t xml:space="preserve">Hodgkinson EL, Smith DM, Wittkowski A (2014)  </w:t>
      </w:r>
      <w:hyperlink r:id="rId5" w:history="1">
        <w:r w:rsidRPr="00DA5CB5">
          <w:rPr>
            <w:rStyle w:val="Hyperlink"/>
            <w:rFonts w:cstheme="minorHAnsi"/>
            <w:b/>
            <w:noProof/>
            <w:sz w:val="18"/>
            <w:lang w:val="en-US"/>
          </w:rPr>
          <w:t>Women’s experiences of their pregnancy and postpartum body image: a systematic review and meta-synthesis</w:t>
        </w:r>
      </w:hyperlink>
      <w:r w:rsidRPr="00DA5CB5">
        <w:rPr>
          <w:rFonts w:cstheme="minorHAnsi"/>
          <w:noProof/>
          <w:sz w:val="18"/>
          <w:lang w:val="en-US"/>
        </w:rPr>
        <w:t xml:space="preserve">. </w:t>
      </w:r>
      <w:r w:rsidRPr="00DA5CB5">
        <w:rPr>
          <w:rFonts w:cstheme="minorHAnsi"/>
          <w:i/>
          <w:noProof/>
          <w:sz w:val="18"/>
          <w:lang w:val="en-US"/>
        </w:rPr>
        <w:t>BMC Pregnancy and Childbirth</w:t>
      </w:r>
      <w:r w:rsidRPr="00DA5CB5">
        <w:rPr>
          <w:rFonts w:cstheme="minorHAnsi"/>
          <w:noProof/>
          <w:sz w:val="18"/>
          <w:lang w:val="en-US"/>
        </w:rPr>
        <w:t xml:space="preserve">. 14 (330):1-11. </w:t>
      </w:r>
    </w:p>
  </w:endnote>
  <w:endnote w:id="12">
    <w:p w14:paraId="6E510657" w14:textId="09FE79F4" w:rsidR="00D76FEF" w:rsidRPr="00DA5CB5" w:rsidRDefault="00D76FEF" w:rsidP="00460E66">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w:t>
      </w:r>
      <w:proofErr w:type="spellStart"/>
      <w:r w:rsidRPr="00DA5CB5">
        <w:rPr>
          <w:rFonts w:cstheme="minorHAnsi"/>
          <w:sz w:val="18"/>
        </w:rPr>
        <w:t>Arcelus</w:t>
      </w:r>
      <w:proofErr w:type="spellEnd"/>
      <w:r w:rsidRPr="00DA5CB5">
        <w:rPr>
          <w:rFonts w:cstheme="minorHAnsi"/>
          <w:sz w:val="18"/>
        </w:rPr>
        <w:t xml:space="preserve"> J, Mitchell AJ, Wales J, Nielsen S. (2011). Mortality rates in patients with anorexia nervosa and other eating disorders: a meta-analysis of 36 studies. </w:t>
      </w:r>
      <w:r w:rsidRPr="00DA5CB5">
        <w:rPr>
          <w:rFonts w:cstheme="minorHAnsi"/>
          <w:i/>
          <w:sz w:val="18"/>
        </w:rPr>
        <w:t>Archives of General Psychiatry, 68</w:t>
      </w:r>
      <w:r w:rsidRPr="00DA5CB5">
        <w:rPr>
          <w:rFonts w:cstheme="minorHAnsi"/>
          <w:sz w:val="18"/>
        </w:rPr>
        <w:t>(7):724-731.</w:t>
      </w:r>
    </w:p>
  </w:endnote>
  <w:endnote w:id="13">
    <w:p w14:paraId="356D3064" w14:textId="7C85D0DD" w:rsidR="00D76FEF" w:rsidRPr="00DA5CB5" w:rsidRDefault="00D76FEF" w:rsidP="00460E66">
      <w:pPr>
        <w:pStyle w:val="EndnoteText"/>
        <w:rPr>
          <w:rFonts w:cstheme="minorHAnsi"/>
          <w:sz w:val="18"/>
          <w:vertAlign w:val="superscript"/>
        </w:rPr>
      </w:pPr>
      <w:r w:rsidRPr="00DA5CB5">
        <w:rPr>
          <w:rFonts w:cstheme="minorHAnsi"/>
          <w:sz w:val="18"/>
          <w:vertAlign w:val="superscript"/>
        </w:rPr>
        <w:endnoteRef/>
      </w:r>
      <w:r w:rsidRPr="00DA5CB5">
        <w:rPr>
          <w:rFonts w:cstheme="minorHAnsi"/>
          <w:sz w:val="18"/>
        </w:rPr>
        <w:t xml:space="preserve"> Australian Institute of Health and Welfare. </w:t>
      </w:r>
      <w:r w:rsidRPr="00DA5CB5">
        <w:rPr>
          <w:rFonts w:cstheme="minorHAnsi"/>
          <w:i/>
          <w:sz w:val="18"/>
        </w:rPr>
        <w:t>Australian Burden of Disease Study: Impact and causes of illness and death in Australia 2011.</w:t>
      </w:r>
      <w:r w:rsidRPr="00DA5CB5">
        <w:rPr>
          <w:rFonts w:cstheme="minorHAnsi"/>
          <w:sz w:val="18"/>
        </w:rPr>
        <w:t xml:space="preserve"> Canberra: AIHW; 2016.</w:t>
      </w:r>
    </w:p>
  </w:endnote>
  <w:endnote w:id="14">
    <w:p w14:paraId="73FF3E39" w14:textId="277453C4" w:rsidR="00D76FEF" w:rsidRPr="00DA5CB5" w:rsidRDefault="00D76FEF" w:rsidP="00460E66">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O'Hara L, Gregg J (2006). The war on obesity: a social determinant of health. </w:t>
      </w:r>
      <w:r w:rsidRPr="00DA5CB5">
        <w:rPr>
          <w:rFonts w:cstheme="minorHAnsi"/>
          <w:i/>
          <w:sz w:val="18"/>
        </w:rPr>
        <w:t>Health Promotion Journal of Australia, 17</w:t>
      </w:r>
      <w:r w:rsidRPr="00DA5CB5">
        <w:rPr>
          <w:rFonts w:cstheme="minorHAnsi"/>
          <w:sz w:val="18"/>
        </w:rPr>
        <w:t xml:space="preserve"> (3):260-3.</w:t>
      </w:r>
    </w:p>
  </w:endnote>
  <w:endnote w:id="15">
    <w:p w14:paraId="22030692" w14:textId="3B87A058" w:rsidR="00D76FEF" w:rsidRPr="00DA5CB5" w:rsidRDefault="00D76FEF" w:rsidP="00460E66">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National Eating Disorders Collaboration (2011). </w:t>
      </w:r>
      <w:hyperlink r:id="rId6" w:history="1">
        <w:r w:rsidRPr="00DA5CB5">
          <w:rPr>
            <w:rStyle w:val="Hyperlink"/>
            <w:rFonts w:cstheme="minorHAnsi"/>
            <w:sz w:val="18"/>
          </w:rPr>
          <w:t>Evaluating the risk of harm of weight-related public messages</w:t>
        </w:r>
      </w:hyperlink>
      <w:r w:rsidRPr="00DA5CB5">
        <w:rPr>
          <w:rFonts w:cstheme="minorHAnsi"/>
          <w:sz w:val="18"/>
        </w:rPr>
        <w:t xml:space="preserve">. </w:t>
      </w:r>
      <w:r w:rsidR="00C067FD" w:rsidRPr="00DA5CB5">
        <w:rPr>
          <w:rFonts w:cstheme="minorHAnsi"/>
          <w:sz w:val="18"/>
        </w:rPr>
        <w:t>Sydney.</w:t>
      </w:r>
      <w:r w:rsidRPr="00DA5CB5">
        <w:rPr>
          <w:rFonts w:cstheme="minorHAnsi"/>
          <w:sz w:val="18"/>
        </w:rPr>
        <w:t xml:space="preserve"> </w:t>
      </w:r>
    </w:p>
  </w:endnote>
  <w:endnote w:id="16">
    <w:p w14:paraId="7ADB1333" w14:textId="6F629BC2" w:rsidR="00D76FEF" w:rsidRPr="00DA5CB5" w:rsidRDefault="00D76FEF">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National Eating Disorders Collaboration (2017) Eating Disorders and Obesity Treatments: A systematic review of the physical, psychological and eating disorders outcomes from obesity treatments, Sydney.</w:t>
      </w:r>
    </w:p>
  </w:endnote>
  <w:endnote w:id="17">
    <w:p w14:paraId="417C7EFE" w14:textId="08E0E9D4" w:rsidR="00D76FEF" w:rsidRPr="00DA5CB5" w:rsidRDefault="00D76FEF" w:rsidP="00A75802">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w:t>
      </w:r>
      <w:r w:rsidR="00D4067D" w:rsidRPr="00DA5CB5">
        <w:rPr>
          <w:rFonts w:cstheme="minorHAnsi"/>
          <w:sz w:val="18"/>
        </w:rPr>
        <w:t xml:space="preserve">: Hall, S., </w:t>
      </w:r>
      <w:proofErr w:type="spellStart"/>
      <w:r w:rsidR="00D4067D" w:rsidRPr="00DA5CB5">
        <w:rPr>
          <w:rFonts w:cstheme="minorHAnsi"/>
          <w:sz w:val="18"/>
        </w:rPr>
        <w:t>Fildes</w:t>
      </w:r>
      <w:proofErr w:type="spellEnd"/>
      <w:r w:rsidR="00D4067D" w:rsidRPr="00DA5CB5">
        <w:rPr>
          <w:rFonts w:cstheme="minorHAnsi"/>
          <w:sz w:val="18"/>
        </w:rPr>
        <w:t xml:space="preserve">, J., </w:t>
      </w:r>
      <w:proofErr w:type="spellStart"/>
      <w:r w:rsidR="00D4067D" w:rsidRPr="00DA5CB5">
        <w:rPr>
          <w:rFonts w:cstheme="minorHAnsi"/>
          <w:sz w:val="18"/>
        </w:rPr>
        <w:t>Perrens</w:t>
      </w:r>
      <w:proofErr w:type="spellEnd"/>
      <w:r w:rsidR="00D4067D" w:rsidRPr="00DA5CB5">
        <w:rPr>
          <w:rFonts w:cstheme="minorHAnsi"/>
          <w:sz w:val="18"/>
        </w:rPr>
        <w:t xml:space="preserve">, B., Plummer, J., Carlisle, E., Cockayne, N., and Werner-Seidler, A. (2019) </w:t>
      </w:r>
      <w:hyperlink r:id="rId7" w:history="1">
        <w:r w:rsidR="00D4067D" w:rsidRPr="00DA5CB5">
          <w:rPr>
            <w:rStyle w:val="Hyperlink"/>
            <w:rFonts w:cstheme="minorHAnsi"/>
            <w:sz w:val="18"/>
          </w:rPr>
          <w:t>Can we Talk? Seven Year Youth Mental Health Report - 2012-2018</w:t>
        </w:r>
      </w:hyperlink>
      <w:r w:rsidR="00D4067D" w:rsidRPr="00DA5CB5">
        <w:rPr>
          <w:rFonts w:cstheme="minorHAnsi"/>
          <w:sz w:val="18"/>
        </w:rPr>
        <w:t>. Mission Australia: Sydney, NSW</w:t>
      </w:r>
    </w:p>
  </w:endnote>
  <w:endnote w:id="18">
    <w:p w14:paraId="608CE028" w14:textId="5EB4957E" w:rsidR="00D76FEF" w:rsidRPr="00DA5CB5" w:rsidRDefault="004C7A20" w:rsidP="00A75802">
      <w:pPr>
        <w:pStyle w:val="EndnoteText"/>
        <w:tabs>
          <w:tab w:val="left" w:pos="289"/>
        </w:tabs>
        <w:ind w:left="-170" w:right="-170"/>
        <w:rPr>
          <w:rFonts w:cstheme="minorHAnsi"/>
          <w:sz w:val="18"/>
        </w:rPr>
      </w:pPr>
      <w:r w:rsidRPr="00DA5CB5">
        <w:rPr>
          <w:rFonts w:cstheme="minorHAnsi"/>
          <w:sz w:val="18"/>
        </w:rPr>
        <w:t xml:space="preserve">    </w:t>
      </w:r>
      <w:r w:rsidR="00D76FEF" w:rsidRPr="00DA5CB5">
        <w:rPr>
          <w:rStyle w:val="EndnoteReference"/>
          <w:rFonts w:cstheme="minorHAnsi"/>
          <w:sz w:val="18"/>
        </w:rPr>
        <w:endnoteRef/>
      </w:r>
      <w:r w:rsidR="00D76FEF" w:rsidRPr="00DA5CB5">
        <w:rPr>
          <w:rFonts w:cstheme="minorHAnsi"/>
          <w:sz w:val="18"/>
        </w:rPr>
        <w:t xml:space="preserve"> </w:t>
      </w:r>
      <w:r w:rsidR="00D76FEF" w:rsidRPr="00DA5CB5">
        <w:rPr>
          <w:rFonts w:cstheme="minorHAnsi"/>
          <w:sz w:val="18"/>
        </w:rPr>
        <w:fldChar w:fldCharType="begin"/>
      </w:r>
      <w:r w:rsidR="00D76FEF" w:rsidRPr="00DA5CB5">
        <w:rPr>
          <w:rFonts w:cstheme="minorHAnsi"/>
          <w:sz w:val="18"/>
        </w:rPr>
        <w:instrText xml:space="preserve"> ADDIN EN.CITE &lt;EndNote&gt;&lt;Cite&gt;&lt;Author&gt;van Bueren&lt;/Author&gt;&lt;Year&gt;2016&lt;/Year&gt;&lt;RecNum&gt;731&lt;/RecNum&gt;&lt;DisplayText&gt;van Bueren, Elliott and Farnam (2016) 2016 Physical Activity and Sport Participation Campaign : insights report&lt;/DisplayText&gt;&lt;record&gt;&lt;rec-number&gt;731&lt;/rec-number&gt;&lt;foreign-keys&gt;&lt;key app="EN" db-id="ssa09sw2ttazvjex2225xtt350ewfx2vadfs"&gt;731&lt;/key&gt;&lt;/foreign-keys&gt;&lt;ref-type name="Book"&gt;6&lt;/ref-type&gt;&lt;contributors&gt;&lt;authors&gt;&lt;author&gt;van Bueren, Donna&lt;/author&gt;&lt;author&gt;Elliott, Sophie&lt;/author&gt;&lt;author&gt;Farnam, Celia&lt;/author&gt;&lt;/authors&gt;&lt;/contributors&gt;&lt;titles&gt;&lt;title&gt;2016 Physical Activity and Sport Participation Campaign : insights report&lt;/title&gt;&lt;/titles&gt;&lt;dates&gt;&lt;year&gt;2016&lt;/year&gt;&lt;/dates&gt;&lt;pub-location&gt;North Sydney&lt;/pub-location&gt;&lt;publisher&gt;TNS Social Research&lt;/publisher&gt;&lt;urls&gt;&lt;related-urls&gt;&lt;url&gt;https://campaigns.health.gov.au/sites/g/files/net3246/f/insights_report.pdf&lt;/url&gt;&lt;/related-urls&gt;&lt;/urls&gt;&lt;/record&gt;&lt;/Cite&gt;&lt;/EndNote&gt;</w:instrText>
      </w:r>
      <w:r w:rsidR="00D76FEF" w:rsidRPr="00DA5CB5">
        <w:rPr>
          <w:rFonts w:cstheme="minorHAnsi"/>
          <w:sz w:val="18"/>
        </w:rPr>
        <w:fldChar w:fldCharType="separate"/>
      </w:r>
      <w:r w:rsidR="00D76FEF" w:rsidRPr="00DA5CB5">
        <w:rPr>
          <w:rFonts w:cstheme="minorHAnsi"/>
          <w:noProof/>
          <w:sz w:val="18"/>
        </w:rPr>
        <w:t xml:space="preserve">van Bueren D, Elliott S, Farnam C (2016) </w:t>
      </w:r>
      <w:hyperlink r:id="rId8" w:history="1">
        <w:r w:rsidR="00D76FEF" w:rsidRPr="00DA5CB5">
          <w:rPr>
            <w:rFonts w:cstheme="minorHAnsi"/>
            <w:noProof/>
            <w:sz w:val="18"/>
          </w:rPr>
          <w:t>2016 Physical Activity and Sport Participation Campaign : insights report</w:t>
        </w:r>
      </w:hyperlink>
      <w:r w:rsidR="00D76FEF" w:rsidRPr="00DA5CB5">
        <w:rPr>
          <w:rFonts w:cstheme="minorHAnsi"/>
          <w:noProof/>
          <w:sz w:val="18"/>
        </w:rPr>
        <w:t>t</w:t>
      </w:r>
      <w:r w:rsidR="00D76FEF" w:rsidRPr="00DA5CB5">
        <w:rPr>
          <w:rFonts w:cstheme="minorHAnsi"/>
          <w:sz w:val="18"/>
        </w:rPr>
        <w:fldChar w:fldCharType="end"/>
      </w:r>
      <w:r w:rsidR="00D76FEF" w:rsidRPr="00DA5CB5">
        <w:rPr>
          <w:rFonts w:cstheme="minorHAnsi"/>
          <w:sz w:val="18"/>
        </w:rPr>
        <w:t>, p. 7.</w:t>
      </w:r>
    </w:p>
  </w:endnote>
  <w:endnote w:id="19">
    <w:p w14:paraId="178035AD" w14:textId="5D7D5E38" w:rsidR="00D76FEF" w:rsidRPr="00DA5CB5" w:rsidRDefault="00D76FEF" w:rsidP="00A75802">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w:t>
      </w:r>
      <w:r w:rsidR="00D4067D" w:rsidRPr="00DA5CB5">
        <w:rPr>
          <w:rFonts w:cstheme="minorHAnsi"/>
          <w:sz w:val="18"/>
        </w:rPr>
        <w:t xml:space="preserve">Webster A, Anderson R, Barr M (2017) </w:t>
      </w:r>
      <w:hyperlink r:id="rId9" w:history="1">
        <w:r w:rsidR="00D4067D" w:rsidRPr="00DA5CB5">
          <w:rPr>
            <w:rStyle w:val="Hyperlink"/>
            <w:rFonts w:cstheme="minorHAnsi"/>
            <w:sz w:val="18"/>
          </w:rPr>
          <w:t>Growing up unequal: how sex and gender impact young women's health and wellbeing</w:t>
        </w:r>
      </w:hyperlink>
      <w:r w:rsidR="00D4067D" w:rsidRPr="00DA5CB5">
        <w:rPr>
          <w:rFonts w:cstheme="minorHAnsi"/>
          <w:sz w:val="18"/>
        </w:rPr>
        <w:t>. Women's Health Victoria. Melbourne. - (Women's Health Issues Paper; 12)</w:t>
      </w:r>
    </w:p>
  </w:endnote>
  <w:endnote w:id="20">
    <w:p w14:paraId="6B4A4627" w14:textId="20A6B732" w:rsidR="00D76FEF" w:rsidRPr="00DA5CB5" w:rsidRDefault="00D76FEF" w:rsidP="00A75802">
      <w:pPr>
        <w:pStyle w:val="EndnoteText"/>
        <w:tabs>
          <w:tab w:val="left" w:pos="288"/>
        </w:tabs>
        <w:ind w:left="288" w:hanging="288"/>
        <w:rPr>
          <w:rFonts w:cstheme="minorHAnsi"/>
          <w:sz w:val="18"/>
          <w:lang w:val="en-US"/>
        </w:rPr>
      </w:pPr>
      <w:r w:rsidRPr="00DA5CB5">
        <w:rPr>
          <w:rStyle w:val="EndnoteReference"/>
          <w:rFonts w:cstheme="minorHAnsi"/>
          <w:sz w:val="18"/>
        </w:rPr>
        <w:endnoteRef/>
      </w:r>
      <w:r w:rsidRPr="00DA5CB5">
        <w:rPr>
          <w:rFonts w:cstheme="minorHAnsi"/>
          <w:sz w:val="18"/>
        </w:rPr>
        <w:t xml:space="preserve"> </w:t>
      </w:r>
      <w:r w:rsidRPr="00DA5CB5">
        <w:rPr>
          <w:rFonts w:cstheme="minorHAnsi"/>
          <w:sz w:val="18"/>
        </w:rPr>
        <w:tab/>
      </w:r>
      <w:r w:rsidRPr="00DA5CB5">
        <w:rPr>
          <w:rFonts w:cstheme="minorHAnsi"/>
          <w:sz w:val="18"/>
        </w:rPr>
        <w:fldChar w:fldCharType="begin"/>
      </w:r>
      <w:r w:rsidRPr="00DA5CB5">
        <w:rPr>
          <w:rFonts w:cstheme="minorHAnsi"/>
          <w:sz w:val="18"/>
        </w:rPr>
        <w:instrText xml:space="preserve"> ADDIN EN.CITE &lt;EndNote&gt;&lt;Cite&gt;&lt;Author&gt;VicHealth&lt;/Author&gt;&lt;Year&gt;2017&lt;/Year&gt;&lt;RecNum&gt;830&lt;/RecNum&gt;&lt;DisplayText&gt;VicHealth (2017) Youth 12-17 : physical activity insights&lt;/DisplayText&gt;&lt;record&gt;&lt;rec-number&gt;830&lt;/rec-number&gt;&lt;foreign-keys&gt;&lt;key app="EN" db-id="ssa09sw2ttazvjex2225xtt350ewfx2vadfs"&gt;830&lt;/key&gt;&lt;/foreign-keys&gt;&lt;ref-type name="Book"&gt;6&lt;/ref-type&gt;&lt;contributors&gt;&lt;authors&gt;&lt;author&gt;VicHealth,&lt;/author&gt;&lt;/authors&gt;&lt;/contributors&gt;&lt;titles&gt;&lt;title&gt;Youth 12-17 : physical activity insights&lt;/title&gt;&lt;secondary-title&gt;Physical Activity Across Life Stages)&lt;/secondary-title&gt;&lt;/titles&gt;&lt;dates&gt;&lt;year&gt;2017&lt;/year&gt;&lt;/dates&gt;&lt;pub-location&gt;Melbourne&lt;/pub-location&gt;&lt;publisher&gt;Victorian Health Promotion Foundation&lt;/publisher&gt;&lt;urls&gt;&lt;related-urls&gt;&lt;url&gt;https://www.vichealth.vic.gov.au/lifestages&lt;/url&gt;&lt;/related-urls&gt;&lt;/urls&gt;&lt;/record&gt;&lt;/Cite&gt;&lt;/EndNote&gt;</w:instrText>
      </w:r>
      <w:r w:rsidRPr="00DA5CB5">
        <w:rPr>
          <w:rFonts w:cstheme="minorHAnsi"/>
          <w:sz w:val="18"/>
        </w:rPr>
        <w:fldChar w:fldCharType="separate"/>
      </w:r>
      <w:r w:rsidRPr="00DA5CB5">
        <w:rPr>
          <w:rFonts w:cstheme="minorHAnsi"/>
          <w:noProof/>
          <w:sz w:val="18"/>
        </w:rPr>
        <w:t>VicHealth (2017) Youth 12-17 : physical activity insights</w:t>
      </w:r>
      <w:r w:rsidRPr="00DA5CB5">
        <w:rPr>
          <w:rFonts w:cstheme="minorHAnsi"/>
          <w:sz w:val="18"/>
        </w:rPr>
        <w:fldChar w:fldCharType="end"/>
      </w:r>
      <w:r w:rsidRPr="00DA5CB5">
        <w:rPr>
          <w:rFonts w:cstheme="minorHAnsi"/>
          <w:sz w:val="18"/>
        </w:rPr>
        <w:t xml:space="preserve">, p. 5. </w:t>
      </w:r>
    </w:p>
  </w:endnote>
  <w:endnote w:id="21">
    <w:p w14:paraId="1B7243FA" w14:textId="362E854D" w:rsidR="00D76FEF" w:rsidRPr="00DA5CB5" w:rsidRDefault="00D76FEF" w:rsidP="00A75802">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See Victorian Women’s Health Atlas, Violence Against Women, Perceptions of Safety 2015.</w:t>
      </w:r>
    </w:p>
  </w:endnote>
  <w:endnote w:id="22">
    <w:p w14:paraId="30D1979F" w14:textId="592B921C" w:rsidR="00CB2975" w:rsidRPr="00DA5CB5" w:rsidRDefault="00CB2975" w:rsidP="00CB2975">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w:t>
      </w:r>
      <w:proofErr w:type="spellStart"/>
      <w:r w:rsidRPr="00DA5CB5">
        <w:rPr>
          <w:rFonts w:cstheme="minorHAnsi"/>
          <w:sz w:val="18"/>
        </w:rPr>
        <w:t>Otterbach</w:t>
      </w:r>
      <w:proofErr w:type="spellEnd"/>
      <w:r w:rsidRPr="00DA5CB5">
        <w:rPr>
          <w:rFonts w:cstheme="minorHAnsi"/>
          <w:sz w:val="18"/>
        </w:rPr>
        <w:t xml:space="preserve"> S et al (2016) </w:t>
      </w:r>
      <w:hyperlink r:id="rId10" w:history="1">
        <w:r w:rsidRPr="00DA5CB5">
          <w:rPr>
            <w:rFonts w:cstheme="minorHAnsi"/>
            <w:sz w:val="18"/>
          </w:rPr>
          <w:t>The effect of motherhood and work on women's time pressure: A cohort analysis using the Australian Longitudinal Study on Women's Health</w:t>
        </w:r>
      </w:hyperlink>
      <w:r w:rsidRPr="00DA5CB5">
        <w:rPr>
          <w:rFonts w:cstheme="minorHAnsi"/>
          <w:sz w:val="18"/>
        </w:rPr>
        <w:t>, Scandinavian Journal of Work, Environment and Health, 42(6).</w:t>
      </w:r>
    </w:p>
  </w:endnote>
  <w:endnote w:id="23">
    <w:p w14:paraId="0F4F3B17" w14:textId="359D5C13" w:rsidR="004E6386" w:rsidRPr="00DA5CB5" w:rsidRDefault="004E6386" w:rsidP="004E6386">
      <w:pPr>
        <w:pStyle w:val="FootnoteText"/>
        <w:rPr>
          <w:rFonts w:cstheme="minorHAnsi"/>
          <w:sz w:val="14"/>
          <w:szCs w:val="16"/>
        </w:rPr>
      </w:pPr>
      <w:r w:rsidRPr="00DA5CB5">
        <w:rPr>
          <w:rStyle w:val="EndnoteReference"/>
          <w:sz w:val="18"/>
        </w:rPr>
        <w:endnoteRef/>
      </w:r>
      <w:r w:rsidRPr="00DA5CB5">
        <w:rPr>
          <w:sz w:val="18"/>
        </w:rPr>
        <w:t xml:space="preserve"> </w:t>
      </w:r>
      <w:hyperlink r:id="rId11" w:history="1">
        <w:r w:rsidRPr="00DA5CB5">
          <w:rPr>
            <w:rStyle w:val="Hyperlink"/>
            <w:rFonts w:cstheme="minorHAnsi"/>
            <w:sz w:val="18"/>
          </w:rPr>
          <w:t>The Girl Can- Victoria: Year one campaign report (2018),</w:t>
        </w:r>
      </w:hyperlink>
      <w:r w:rsidRPr="00DA5CB5">
        <w:rPr>
          <w:rFonts w:cstheme="minorHAnsi"/>
          <w:sz w:val="18"/>
        </w:rPr>
        <w:t xml:space="preserve"> VicHealth 2019.</w:t>
      </w:r>
    </w:p>
  </w:endnote>
  <w:endnote w:id="24">
    <w:p w14:paraId="1F6C36DC" w14:textId="76435C71" w:rsidR="00D76FEF" w:rsidRPr="00DA5CB5" w:rsidRDefault="00D76FEF" w:rsidP="00A75802">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w:t>
      </w:r>
      <w:r w:rsidRPr="00DA5CB5">
        <w:rPr>
          <w:rFonts w:cstheme="minorHAnsi"/>
          <w:noProof/>
          <w:sz w:val="18"/>
          <w:lang w:val="en-US"/>
        </w:rPr>
        <w:t xml:space="preserve">Woolhouse H, James J, Gartland D, McDonald E, Brown S (2016)  </w:t>
      </w:r>
      <w:r w:rsidRPr="00DA5CB5">
        <w:rPr>
          <w:rFonts w:cstheme="minorHAnsi"/>
          <w:b/>
          <w:noProof/>
          <w:sz w:val="18"/>
          <w:lang w:val="en-US"/>
        </w:rPr>
        <w:t>Maternal depressive symptoms at three months postpartum and breastfeeding rates at six months postpartum: implications for primary care in a prospective cohort study of primiparous women in Australia</w:t>
      </w:r>
      <w:r w:rsidRPr="00DA5CB5">
        <w:rPr>
          <w:rFonts w:cstheme="minorHAnsi"/>
          <w:noProof/>
          <w:sz w:val="18"/>
          <w:lang w:val="en-US"/>
        </w:rPr>
        <w:t xml:space="preserve">. </w:t>
      </w:r>
      <w:r w:rsidRPr="00DA5CB5">
        <w:rPr>
          <w:rFonts w:cstheme="minorHAnsi"/>
          <w:i/>
          <w:noProof/>
          <w:sz w:val="18"/>
          <w:lang w:val="en-US"/>
        </w:rPr>
        <w:t>Women and Birth</w:t>
      </w:r>
      <w:r w:rsidRPr="00DA5CB5">
        <w:rPr>
          <w:rFonts w:cstheme="minorHAnsi"/>
          <w:noProof/>
          <w:sz w:val="18"/>
          <w:lang w:val="en-US"/>
        </w:rPr>
        <w:t>. 29 (4):381-7</w:t>
      </w:r>
    </w:p>
  </w:endnote>
  <w:endnote w:id="25">
    <w:p w14:paraId="15815FA7" w14:textId="15658A9F" w:rsidR="00D76FEF" w:rsidRPr="00DA5CB5" w:rsidRDefault="00D76FEF" w:rsidP="00A75802">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w:t>
      </w:r>
      <w:r w:rsidRPr="00DA5CB5">
        <w:rPr>
          <w:rFonts w:cstheme="minorHAnsi"/>
          <w:noProof/>
          <w:sz w:val="18"/>
          <w:lang w:val="en-US"/>
        </w:rPr>
        <w:t xml:space="preserve">Victoria. Parliament. Family and Community Development Committee (2018) </w:t>
      </w:r>
      <w:hyperlink r:id="rId12" w:history="1">
        <w:r w:rsidRPr="00DA5CB5">
          <w:rPr>
            <w:rFonts w:cstheme="minorHAnsi"/>
            <w:b/>
            <w:noProof/>
            <w:sz w:val="18"/>
            <w:lang w:val="en-US"/>
          </w:rPr>
          <w:t>Inquiry into perinatal services: final report</w:t>
        </w:r>
      </w:hyperlink>
      <w:r w:rsidRPr="00DA5CB5">
        <w:rPr>
          <w:rFonts w:cstheme="minorHAnsi"/>
          <w:noProof/>
          <w:sz w:val="18"/>
          <w:lang w:val="en-US"/>
        </w:rPr>
        <w:t xml:space="preserve">. Victoria. Parliament, Melbourne. Available from: </w:t>
      </w:r>
    </w:p>
  </w:endnote>
  <w:endnote w:id="26">
    <w:p w14:paraId="1F3F5952" w14:textId="4FABD953" w:rsidR="00D76FEF" w:rsidRPr="00DA5CB5" w:rsidRDefault="00D76FEF" w:rsidP="00A75802">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w:t>
      </w:r>
      <w:r w:rsidRPr="00DA5CB5">
        <w:rPr>
          <w:rFonts w:cstheme="minorHAnsi"/>
          <w:noProof/>
          <w:sz w:val="18"/>
          <w:lang w:val="en-US"/>
        </w:rPr>
        <w:t xml:space="preserve">Newby R, Davies P (2016)  </w:t>
      </w:r>
      <w:r w:rsidRPr="00DA5CB5">
        <w:rPr>
          <w:rFonts w:cstheme="minorHAnsi"/>
          <w:b/>
          <w:noProof/>
          <w:sz w:val="18"/>
          <w:lang w:val="en-US"/>
        </w:rPr>
        <w:t>Why do women stop breast-feeding? results from a contemporary prospective study in a cohort of Australian women</w:t>
      </w:r>
      <w:r w:rsidRPr="00DA5CB5">
        <w:rPr>
          <w:rFonts w:cstheme="minorHAnsi"/>
          <w:noProof/>
          <w:sz w:val="18"/>
          <w:lang w:val="en-US"/>
        </w:rPr>
        <w:t xml:space="preserve">. </w:t>
      </w:r>
      <w:r w:rsidRPr="00DA5CB5">
        <w:rPr>
          <w:rFonts w:cstheme="minorHAnsi"/>
          <w:i/>
          <w:noProof/>
          <w:sz w:val="18"/>
          <w:lang w:val="en-US"/>
        </w:rPr>
        <w:t>European Journal of Clinical Nutrition</w:t>
      </w:r>
      <w:r w:rsidRPr="00DA5CB5">
        <w:rPr>
          <w:rFonts w:cstheme="minorHAnsi"/>
          <w:noProof/>
          <w:sz w:val="18"/>
          <w:lang w:val="en-US"/>
        </w:rPr>
        <w:t>. 70 (12):1428-32</w:t>
      </w:r>
    </w:p>
  </w:endnote>
  <w:endnote w:id="27">
    <w:p w14:paraId="5DA666D0" w14:textId="480D9AB2" w:rsidR="00D76FEF" w:rsidRPr="00DA5CB5" w:rsidRDefault="00D76FEF" w:rsidP="00A75802">
      <w:pPr>
        <w:spacing w:after="0" w:line="240" w:lineRule="auto"/>
        <w:rPr>
          <w:rFonts w:eastAsia="calibri (body)" w:cstheme="minorHAnsi"/>
          <w:sz w:val="18"/>
          <w:szCs w:val="20"/>
          <w:lang w:eastAsia="en-AU"/>
        </w:rPr>
      </w:pPr>
      <w:r w:rsidRPr="00DA5CB5">
        <w:rPr>
          <w:rStyle w:val="EndnoteReference"/>
          <w:rFonts w:cstheme="minorHAnsi"/>
          <w:sz w:val="18"/>
          <w:szCs w:val="20"/>
        </w:rPr>
        <w:endnoteRef/>
      </w:r>
      <w:r w:rsidRPr="00DA5CB5">
        <w:rPr>
          <w:rFonts w:cstheme="minorHAnsi"/>
          <w:sz w:val="18"/>
          <w:szCs w:val="20"/>
          <w:vertAlign w:val="superscript"/>
        </w:rPr>
        <w:t xml:space="preserve"> </w:t>
      </w:r>
      <w:r w:rsidRPr="00DA5CB5">
        <w:rPr>
          <w:rFonts w:cstheme="minorHAnsi"/>
          <w:sz w:val="18"/>
          <w:szCs w:val="20"/>
        </w:rPr>
        <w:t xml:space="preserve">Burns, C., Cook, K., &amp; </w:t>
      </w:r>
      <w:proofErr w:type="spellStart"/>
      <w:r w:rsidRPr="00DA5CB5">
        <w:rPr>
          <w:rFonts w:cstheme="minorHAnsi"/>
          <w:sz w:val="18"/>
          <w:szCs w:val="20"/>
        </w:rPr>
        <w:t>Mavoa</w:t>
      </w:r>
      <w:proofErr w:type="spellEnd"/>
      <w:r w:rsidRPr="00DA5CB5">
        <w:rPr>
          <w:rFonts w:cstheme="minorHAnsi"/>
          <w:sz w:val="18"/>
          <w:szCs w:val="20"/>
        </w:rPr>
        <w:t xml:space="preserve">, H. (2013). Role of expendable income and price in food choice by low income families. </w:t>
      </w:r>
      <w:r w:rsidRPr="00DA5CB5">
        <w:rPr>
          <w:rFonts w:cstheme="minorHAnsi"/>
          <w:i/>
          <w:sz w:val="18"/>
          <w:szCs w:val="20"/>
        </w:rPr>
        <w:t>Appetite, 71</w:t>
      </w:r>
      <w:r w:rsidRPr="00DA5CB5">
        <w:rPr>
          <w:rFonts w:cstheme="minorHAnsi"/>
          <w:sz w:val="18"/>
          <w:szCs w:val="20"/>
        </w:rPr>
        <w:t>, 209-217.</w:t>
      </w:r>
      <w:r w:rsidRPr="00DA5CB5">
        <w:rPr>
          <w:rFonts w:eastAsia="calibri (body)" w:cstheme="minorHAnsi"/>
          <w:sz w:val="18"/>
          <w:szCs w:val="20"/>
          <w:lang w:eastAsia="en-AU"/>
        </w:rPr>
        <w:t xml:space="preserve"> </w:t>
      </w:r>
    </w:p>
  </w:endnote>
  <w:endnote w:id="28">
    <w:p w14:paraId="53C32190" w14:textId="1D307BFF" w:rsidR="00D76FEF" w:rsidRPr="00DA5CB5" w:rsidRDefault="00D76FEF" w:rsidP="00A75802">
      <w:pPr>
        <w:spacing w:after="0" w:line="240" w:lineRule="auto"/>
        <w:rPr>
          <w:rFonts w:eastAsia="calibri (body)" w:cstheme="minorHAnsi"/>
          <w:sz w:val="18"/>
          <w:szCs w:val="20"/>
          <w:lang w:eastAsia="en-AU"/>
        </w:rPr>
      </w:pPr>
      <w:r w:rsidRPr="00DA5CB5">
        <w:rPr>
          <w:rStyle w:val="EndnoteReference"/>
          <w:rFonts w:cstheme="minorHAnsi"/>
          <w:sz w:val="18"/>
          <w:szCs w:val="20"/>
        </w:rPr>
        <w:endnoteRef/>
      </w:r>
      <w:r w:rsidRPr="00DA5CB5">
        <w:rPr>
          <w:rFonts w:cstheme="minorHAnsi"/>
          <w:sz w:val="18"/>
          <w:szCs w:val="20"/>
        </w:rPr>
        <w:t xml:space="preserve"> McKenzie, H., &amp; McKay, F. (2017). Food as a discretionary item: The impact of welfare payment changes on low-income single mother's food choices and strategies. </w:t>
      </w:r>
      <w:r w:rsidRPr="00DA5CB5">
        <w:rPr>
          <w:rFonts w:cstheme="minorHAnsi"/>
          <w:i/>
          <w:sz w:val="18"/>
          <w:szCs w:val="20"/>
        </w:rPr>
        <w:t>Journal of Poverty and Social Justice, 25</w:t>
      </w:r>
      <w:r w:rsidRPr="00DA5CB5">
        <w:rPr>
          <w:rFonts w:cstheme="minorHAnsi"/>
          <w:sz w:val="18"/>
          <w:szCs w:val="20"/>
        </w:rPr>
        <w:t>(1), 35-48.</w:t>
      </w:r>
      <w:r w:rsidRPr="00DA5CB5">
        <w:rPr>
          <w:rFonts w:eastAsia="calibri (body)" w:cstheme="minorHAnsi"/>
          <w:sz w:val="18"/>
          <w:szCs w:val="20"/>
          <w:lang w:eastAsia="en-AU"/>
        </w:rPr>
        <w:t xml:space="preserve"> </w:t>
      </w:r>
    </w:p>
  </w:endnote>
  <w:endnote w:id="29">
    <w:p w14:paraId="08E01E57" w14:textId="77777777" w:rsidR="003C3634" w:rsidRPr="00DA5CB5" w:rsidRDefault="003C3634" w:rsidP="003C3634">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Sax Insitute (2019), </w:t>
      </w:r>
      <w:hyperlink r:id="rId13" w:history="1">
        <w:r w:rsidRPr="00DA5CB5">
          <w:rPr>
            <w:rFonts w:cstheme="minorHAnsi"/>
            <w:sz w:val="18"/>
          </w:rPr>
          <w:t>Addressing the social and commercial determinants of healthy weight</w:t>
        </w:r>
      </w:hyperlink>
      <w:r w:rsidRPr="00DA5CB5">
        <w:rPr>
          <w:rFonts w:cstheme="minorHAnsi"/>
          <w:sz w:val="18"/>
        </w:rPr>
        <w:t xml:space="preserve"> Queensland Department of Health. </w:t>
      </w:r>
    </w:p>
  </w:endnote>
  <w:endnote w:id="30">
    <w:p w14:paraId="76E986EC" w14:textId="37CFE725" w:rsidR="00E50937" w:rsidRPr="00DA5CB5" w:rsidRDefault="00E50937" w:rsidP="00E50937">
      <w:pPr>
        <w:pStyle w:val="EndnoteText"/>
        <w:rPr>
          <w:rFonts w:cstheme="minorHAnsi"/>
          <w:sz w:val="18"/>
          <w:highlight w:val="yellow"/>
        </w:rPr>
      </w:pPr>
      <w:r w:rsidRPr="00DA5CB5">
        <w:rPr>
          <w:rStyle w:val="EndnoteReference"/>
          <w:rFonts w:cstheme="minorHAnsi"/>
          <w:sz w:val="18"/>
        </w:rPr>
        <w:endnoteRef/>
      </w:r>
      <w:r w:rsidRPr="00DA5CB5">
        <w:rPr>
          <w:rFonts w:cstheme="minorHAnsi"/>
          <w:sz w:val="18"/>
        </w:rPr>
        <w:t xml:space="preserve"> Lewis, S., Thomas, S. L., Blood, R. W., Castle, D. J., Hyde, J., &amp; </w:t>
      </w:r>
      <w:proofErr w:type="spellStart"/>
      <w:r w:rsidRPr="00DA5CB5">
        <w:rPr>
          <w:rFonts w:cstheme="minorHAnsi"/>
          <w:sz w:val="18"/>
        </w:rPr>
        <w:t>Komesaroff</w:t>
      </w:r>
      <w:proofErr w:type="spellEnd"/>
      <w:r w:rsidRPr="00DA5CB5">
        <w:rPr>
          <w:rFonts w:cstheme="minorHAnsi"/>
          <w:sz w:val="18"/>
        </w:rPr>
        <w:t xml:space="preserve">, P. A. (2011). How do obese individuals perceive and respond to the different types of obesity stigma that they encounter in their daily lives? A qualitative study. </w:t>
      </w:r>
      <w:r w:rsidRPr="00DA5CB5">
        <w:rPr>
          <w:rFonts w:cstheme="minorHAnsi"/>
          <w:i/>
          <w:sz w:val="18"/>
        </w:rPr>
        <w:t>Social Science &amp; Medicine, 73</w:t>
      </w:r>
      <w:r w:rsidRPr="00DA5CB5">
        <w:rPr>
          <w:rFonts w:cstheme="minorHAnsi"/>
          <w:sz w:val="18"/>
        </w:rPr>
        <w:t>(9), 1349-1356.</w:t>
      </w:r>
    </w:p>
  </w:endnote>
  <w:endnote w:id="31">
    <w:p w14:paraId="1CC42CB2" w14:textId="1F956A5E" w:rsidR="00E50937" w:rsidRPr="00DA5CB5" w:rsidRDefault="00E50937" w:rsidP="00E50937">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w:t>
      </w:r>
      <w:proofErr w:type="spellStart"/>
      <w:r w:rsidRPr="00DA5CB5">
        <w:rPr>
          <w:rFonts w:cstheme="minorHAnsi"/>
          <w:sz w:val="18"/>
        </w:rPr>
        <w:t>Puhl</w:t>
      </w:r>
      <w:proofErr w:type="spellEnd"/>
      <w:r w:rsidRPr="00DA5CB5">
        <w:rPr>
          <w:rFonts w:cstheme="minorHAnsi"/>
          <w:sz w:val="18"/>
        </w:rPr>
        <w:t xml:space="preserve">, R. M., Wall, M. M., Chen, C., Austin, S. B., Eisenberg, M. E., &amp; </w:t>
      </w:r>
      <w:proofErr w:type="spellStart"/>
      <w:r w:rsidRPr="00DA5CB5">
        <w:rPr>
          <w:rFonts w:cstheme="minorHAnsi"/>
          <w:sz w:val="18"/>
        </w:rPr>
        <w:t>Neumark-Sztainer</w:t>
      </w:r>
      <w:proofErr w:type="spellEnd"/>
      <w:r w:rsidRPr="00DA5CB5">
        <w:rPr>
          <w:rFonts w:cstheme="minorHAnsi"/>
          <w:sz w:val="18"/>
        </w:rPr>
        <w:t xml:space="preserve">, D. (2017). Experiences of weight teasing in adolescence and weight-related outcomes in adulthood: A 15-year longitudinal study. </w:t>
      </w:r>
      <w:r w:rsidRPr="00DA5CB5">
        <w:rPr>
          <w:rFonts w:cstheme="minorHAnsi"/>
          <w:i/>
          <w:sz w:val="18"/>
        </w:rPr>
        <w:t xml:space="preserve">Preventive Medicine, 100, </w:t>
      </w:r>
      <w:r w:rsidRPr="00DA5CB5">
        <w:rPr>
          <w:rFonts w:cstheme="minorHAnsi"/>
          <w:sz w:val="18"/>
        </w:rPr>
        <w:t xml:space="preserve">173-179. </w:t>
      </w:r>
    </w:p>
  </w:endnote>
  <w:endnote w:id="32">
    <w:p w14:paraId="06270116" w14:textId="56BA1237" w:rsidR="00D76FEF" w:rsidRPr="00DA5CB5" w:rsidRDefault="00D76FEF" w:rsidP="00A75802">
      <w:pPr>
        <w:spacing w:after="0" w:line="240" w:lineRule="auto"/>
        <w:rPr>
          <w:rFonts w:cstheme="minorHAnsi"/>
          <w:sz w:val="18"/>
          <w:szCs w:val="20"/>
        </w:rPr>
      </w:pPr>
      <w:r w:rsidRPr="00DA5CB5">
        <w:rPr>
          <w:rStyle w:val="EndnoteReference"/>
          <w:rFonts w:cstheme="minorHAnsi"/>
          <w:sz w:val="18"/>
          <w:szCs w:val="20"/>
        </w:rPr>
        <w:endnoteRef/>
      </w:r>
      <w:r w:rsidRPr="00DA5CB5">
        <w:rPr>
          <w:rFonts w:cstheme="minorHAnsi"/>
          <w:sz w:val="18"/>
          <w:szCs w:val="20"/>
        </w:rPr>
        <w:t xml:space="preserve"> Wu and Berry (2017)</w:t>
      </w:r>
      <w:hyperlink r:id="rId14" w:history="1">
        <w:r w:rsidRPr="00DA5CB5">
          <w:rPr>
            <w:rFonts w:cstheme="minorHAnsi"/>
            <w:sz w:val="18"/>
            <w:szCs w:val="20"/>
          </w:rPr>
          <w:t xml:space="preserve"> Impact of weight stigma on physiological and psychological health outcomes for overweight and obese adults: A systematic review</w:t>
        </w:r>
      </w:hyperlink>
      <w:r w:rsidRPr="00DA5CB5">
        <w:rPr>
          <w:rFonts w:cstheme="minorHAnsi"/>
          <w:sz w:val="18"/>
          <w:szCs w:val="20"/>
        </w:rPr>
        <w:t xml:space="preserve">. Journal of Advanced Nursing </w:t>
      </w:r>
    </w:p>
  </w:endnote>
  <w:endnote w:id="33">
    <w:p w14:paraId="21614B16" w14:textId="264CE798" w:rsidR="00D76FEF" w:rsidRPr="00DA5CB5" w:rsidRDefault="00D76FEF" w:rsidP="006C6BC6">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w:t>
      </w:r>
      <w:hyperlink r:id="rId15" w:history="1">
        <w:r w:rsidRPr="00DA5CB5">
          <w:rPr>
            <w:rFonts w:cstheme="minorHAnsi"/>
            <w:sz w:val="18"/>
          </w:rPr>
          <w:t>Gender differences in the relationship of weight-based stigmatisation with motivation to exercise and physical activity in overweight individuals</w:t>
        </w:r>
      </w:hyperlink>
      <w:r w:rsidRPr="00DA5CB5">
        <w:rPr>
          <w:rFonts w:cstheme="minorHAnsi"/>
          <w:sz w:val="18"/>
        </w:rPr>
        <w:t xml:space="preserve"> Health Psychology Open 2018</w:t>
      </w:r>
    </w:p>
  </w:endnote>
  <w:endnote w:id="34">
    <w:p w14:paraId="2C8A5745" w14:textId="723EC824" w:rsidR="00D76FEF" w:rsidRPr="00DA5CB5" w:rsidRDefault="00D76FEF" w:rsidP="006C6BC6">
      <w:pPr>
        <w:spacing w:after="0" w:line="240" w:lineRule="auto"/>
        <w:rPr>
          <w:rFonts w:cstheme="minorHAnsi"/>
          <w:sz w:val="18"/>
          <w:szCs w:val="20"/>
        </w:rPr>
      </w:pPr>
      <w:r w:rsidRPr="00DA5CB5">
        <w:rPr>
          <w:rStyle w:val="EndnoteReference"/>
          <w:rFonts w:cstheme="minorHAnsi"/>
          <w:sz w:val="18"/>
          <w:szCs w:val="20"/>
        </w:rPr>
        <w:endnoteRef/>
      </w:r>
      <w:r w:rsidRPr="00DA5CB5">
        <w:rPr>
          <w:rFonts w:cstheme="minorHAnsi"/>
          <w:sz w:val="18"/>
          <w:szCs w:val="20"/>
        </w:rPr>
        <w:t xml:space="preserve"> </w:t>
      </w:r>
      <w:hyperlink r:id="rId16" w:history="1">
        <w:r w:rsidRPr="00DA5CB5">
          <w:rPr>
            <w:rFonts w:cstheme="minorHAnsi"/>
            <w:sz w:val="18"/>
            <w:szCs w:val="20"/>
          </w:rPr>
          <w:t>Weight Bias: Does it Affect Men and Women Differently?</w:t>
        </w:r>
      </w:hyperlink>
      <w:r w:rsidRPr="00DA5CB5">
        <w:rPr>
          <w:rFonts w:cstheme="minorHAnsi"/>
          <w:sz w:val="18"/>
          <w:szCs w:val="20"/>
        </w:rPr>
        <w:t xml:space="preserve"> Obesity Action 2018</w:t>
      </w:r>
    </w:p>
  </w:endnote>
  <w:endnote w:id="35">
    <w:p w14:paraId="5242C875" w14:textId="13524422" w:rsidR="00D76FEF" w:rsidRPr="00DA5CB5" w:rsidRDefault="00D76FEF" w:rsidP="006C6BC6">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w:t>
      </w:r>
      <w:hyperlink r:id="rId17" w:history="1">
        <w:r w:rsidRPr="00DA5CB5">
          <w:rPr>
            <w:rFonts w:cstheme="minorHAnsi"/>
            <w:sz w:val="18"/>
          </w:rPr>
          <w:t>How do obese individuals perceive and respond to the different types of obesity stigma that they encounter in their daily lives? A Qualitative study</w:t>
        </w:r>
      </w:hyperlink>
      <w:r w:rsidRPr="00DA5CB5">
        <w:rPr>
          <w:rFonts w:cstheme="minorHAnsi"/>
          <w:sz w:val="18"/>
        </w:rPr>
        <w:t>, Social Science and Medicine, 2011</w:t>
      </w:r>
    </w:p>
  </w:endnote>
  <w:endnote w:id="36">
    <w:p w14:paraId="67111AE6" w14:textId="779FF2EA" w:rsidR="00D76FEF" w:rsidRPr="00DA5CB5" w:rsidRDefault="00D76FEF" w:rsidP="006C6BC6">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w:t>
      </w:r>
      <w:hyperlink r:id="rId18" w:history="1">
        <w:r w:rsidRPr="00DA5CB5">
          <w:rPr>
            <w:rFonts w:cstheme="minorHAnsi"/>
            <w:sz w:val="18"/>
          </w:rPr>
          <w:t>Experiences of weight stigma in everyday life: Implications for health motivation</w:t>
        </w:r>
      </w:hyperlink>
      <w:r w:rsidRPr="00DA5CB5">
        <w:rPr>
          <w:rFonts w:cstheme="minorHAnsi"/>
          <w:sz w:val="18"/>
        </w:rPr>
        <w:t>, American Psychological Association, 2016</w:t>
      </w:r>
    </w:p>
  </w:endnote>
  <w:endnote w:id="37">
    <w:p w14:paraId="1641E710" w14:textId="01656129" w:rsidR="00D76FEF" w:rsidRPr="00DA5CB5" w:rsidRDefault="00D76FEF" w:rsidP="006C6BC6">
      <w:pPr>
        <w:spacing w:after="0" w:line="240" w:lineRule="auto"/>
        <w:rPr>
          <w:rFonts w:cstheme="minorHAnsi"/>
          <w:sz w:val="18"/>
          <w:szCs w:val="20"/>
        </w:rPr>
      </w:pPr>
      <w:r w:rsidRPr="00DA5CB5">
        <w:rPr>
          <w:rStyle w:val="EndnoteReference"/>
          <w:rFonts w:cstheme="minorHAnsi"/>
          <w:sz w:val="18"/>
          <w:szCs w:val="20"/>
        </w:rPr>
        <w:endnoteRef/>
      </w:r>
      <w:r w:rsidRPr="00DA5CB5">
        <w:rPr>
          <w:rFonts w:cstheme="minorHAnsi"/>
          <w:sz w:val="18"/>
          <w:szCs w:val="20"/>
        </w:rPr>
        <w:t xml:space="preserve"> </w:t>
      </w:r>
      <w:hyperlink r:id="rId19" w:history="1">
        <w:r w:rsidRPr="00DA5CB5">
          <w:rPr>
            <w:rFonts w:cstheme="minorHAnsi"/>
            <w:sz w:val="18"/>
            <w:szCs w:val="20"/>
          </w:rPr>
          <w:t>How and why weight stigma drives the obesity ‘epidemic’ and harms health</w:t>
        </w:r>
      </w:hyperlink>
      <w:r w:rsidRPr="00DA5CB5">
        <w:rPr>
          <w:rFonts w:cstheme="minorHAnsi"/>
          <w:sz w:val="18"/>
          <w:szCs w:val="20"/>
        </w:rPr>
        <w:t xml:space="preserve"> BMC Medicine 2018</w:t>
      </w:r>
    </w:p>
  </w:endnote>
  <w:endnote w:id="38">
    <w:p w14:paraId="2BD5CAAB" w14:textId="293413AA" w:rsidR="00D76FEF" w:rsidRPr="00DA5CB5" w:rsidRDefault="00D76FEF" w:rsidP="006C6BC6">
      <w:pPr>
        <w:pStyle w:val="NoSpacing"/>
        <w:rPr>
          <w:rFonts w:cstheme="minorHAnsi"/>
          <w:sz w:val="18"/>
          <w:szCs w:val="20"/>
        </w:rPr>
      </w:pPr>
      <w:r w:rsidRPr="00DA5CB5">
        <w:rPr>
          <w:rStyle w:val="EndnoteReference"/>
          <w:rFonts w:cstheme="minorHAnsi"/>
          <w:sz w:val="18"/>
          <w:szCs w:val="20"/>
        </w:rPr>
        <w:endnoteRef/>
      </w:r>
      <w:r w:rsidRPr="00DA5CB5">
        <w:rPr>
          <w:rFonts w:cstheme="minorHAnsi"/>
          <w:sz w:val="18"/>
          <w:szCs w:val="20"/>
        </w:rPr>
        <w:t xml:space="preserve"> </w:t>
      </w:r>
      <w:hyperlink r:id="rId20" w:history="1">
        <w:r w:rsidRPr="00DA5CB5">
          <w:rPr>
            <w:rFonts w:cstheme="minorHAnsi"/>
            <w:sz w:val="18"/>
            <w:szCs w:val="20"/>
          </w:rPr>
          <w:t xml:space="preserve">Stigma Experienced by Children and Adolescents </w:t>
        </w:r>
        <w:proofErr w:type="gramStart"/>
        <w:r w:rsidRPr="00DA5CB5">
          <w:rPr>
            <w:rFonts w:cstheme="minorHAnsi"/>
            <w:sz w:val="18"/>
            <w:szCs w:val="20"/>
          </w:rPr>
          <w:t>With</w:t>
        </w:r>
        <w:proofErr w:type="gramEnd"/>
        <w:r w:rsidRPr="00DA5CB5">
          <w:rPr>
            <w:rFonts w:cstheme="minorHAnsi"/>
            <w:sz w:val="18"/>
            <w:szCs w:val="20"/>
          </w:rPr>
          <w:t xml:space="preserve"> Obesity</w:t>
        </w:r>
      </w:hyperlink>
      <w:r w:rsidRPr="00DA5CB5">
        <w:rPr>
          <w:rFonts w:cstheme="minorHAnsi"/>
          <w:sz w:val="18"/>
          <w:szCs w:val="20"/>
        </w:rPr>
        <w:t xml:space="preserve"> </w:t>
      </w:r>
      <w:proofErr w:type="spellStart"/>
      <w:r w:rsidRPr="00DA5CB5">
        <w:rPr>
          <w:rFonts w:cstheme="minorHAnsi"/>
          <w:sz w:val="18"/>
          <w:szCs w:val="20"/>
        </w:rPr>
        <w:t>Pediatrics</w:t>
      </w:r>
      <w:proofErr w:type="spellEnd"/>
      <w:r w:rsidRPr="00DA5CB5">
        <w:rPr>
          <w:rFonts w:cstheme="minorHAnsi"/>
          <w:sz w:val="18"/>
          <w:szCs w:val="20"/>
        </w:rPr>
        <w:t xml:space="preserve"> 2017</w:t>
      </w:r>
    </w:p>
  </w:endnote>
  <w:endnote w:id="39">
    <w:p w14:paraId="43CCD6DD" w14:textId="39EC9711" w:rsidR="00D76FEF" w:rsidRPr="00DA5CB5" w:rsidRDefault="00D76FEF" w:rsidP="001C49F0">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w:t>
      </w:r>
      <w:hyperlink r:id="rId21" w:history="1">
        <w:r w:rsidRPr="00DA5CB5">
          <w:rPr>
            <w:rFonts w:cstheme="minorHAnsi"/>
            <w:sz w:val="18"/>
          </w:rPr>
          <w:t>How do obese individuals perceive and respond to the different types of obesity stigma that they encounter in their daily lives? A Qualitative study</w:t>
        </w:r>
      </w:hyperlink>
      <w:r w:rsidRPr="00DA5CB5">
        <w:rPr>
          <w:rFonts w:cstheme="minorHAnsi"/>
          <w:sz w:val="18"/>
        </w:rPr>
        <w:t>, Social Science and Medicine, 2011</w:t>
      </w:r>
    </w:p>
  </w:endnote>
  <w:endnote w:id="40">
    <w:p w14:paraId="245BC6D6" w14:textId="1D92DAA0" w:rsidR="00D76FEF" w:rsidRPr="00DA5CB5" w:rsidRDefault="00D76FEF" w:rsidP="001C49F0">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Positive public health campaigns </w:t>
      </w:r>
      <w:r w:rsidRPr="00DA5CB5">
        <w:rPr>
          <w:rFonts w:cstheme="minorHAnsi"/>
          <w:i/>
          <w:sz w:val="18"/>
        </w:rPr>
        <w:t>in</w:t>
      </w:r>
      <w:r w:rsidRPr="00DA5CB5">
        <w:rPr>
          <w:rFonts w:cstheme="minorHAnsi"/>
          <w:sz w:val="18"/>
        </w:rPr>
        <w:t xml:space="preserve"> </w:t>
      </w:r>
      <w:hyperlink r:id="rId22" w:history="1">
        <w:r w:rsidRPr="00DA5CB5">
          <w:rPr>
            <w:rFonts w:cstheme="minorHAnsi"/>
            <w:sz w:val="18"/>
          </w:rPr>
          <w:t>Obesity and Eating Disorders [webpage</w:t>
        </w:r>
      </w:hyperlink>
      <w:r w:rsidRPr="00DA5CB5">
        <w:rPr>
          <w:rFonts w:cstheme="minorHAnsi"/>
          <w:sz w:val="18"/>
        </w:rPr>
        <w:t>], National Eating Disorder Collaboration, 2018</w:t>
      </w:r>
    </w:p>
  </w:endnote>
  <w:endnote w:id="41">
    <w:p w14:paraId="6FE7BE74" w14:textId="70CD3D0E" w:rsidR="00D76FEF" w:rsidRPr="00DA5CB5" w:rsidRDefault="00D76FEF" w:rsidP="001C49F0">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w:t>
      </w:r>
      <w:hyperlink r:id="rId23" w:history="1">
        <w:r w:rsidRPr="00DA5CB5">
          <w:rPr>
            <w:rFonts w:cstheme="minorHAnsi"/>
            <w:sz w:val="18"/>
          </w:rPr>
          <w:t>Obesity on trial for community jury,</w:t>
        </w:r>
      </w:hyperlink>
      <w:r w:rsidRPr="00DA5CB5">
        <w:rPr>
          <w:rFonts w:cstheme="minorHAnsi"/>
          <w:sz w:val="18"/>
        </w:rPr>
        <w:t xml:space="preserve"> Health Waves +, August/September 2017, p. 6.</w:t>
      </w:r>
    </w:p>
  </w:endnote>
  <w:endnote w:id="42">
    <w:p w14:paraId="2882699E" w14:textId="37B03E71" w:rsidR="00D76FEF" w:rsidRPr="00DA5CB5" w:rsidRDefault="00D76FEF" w:rsidP="001C49F0">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w:t>
      </w:r>
      <w:proofErr w:type="spellStart"/>
      <w:r w:rsidRPr="00DA5CB5">
        <w:rPr>
          <w:rFonts w:cstheme="minorHAnsi"/>
          <w:sz w:val="18"/>
        </w:rPr>
        <w:t>Mensinger</w:t>
      </w:r>
      <w:proofErr w:type="spellEnd"/>
      <w:r w:rsidRPr="00DA5CB5">
        <w:rPr>
          <w:rFonts w:cstheme="minorHAnsi"/>
          <w:sz w:val="18"/>
        </w:rPr>
        <w:t xml:space="preserve"> JL et al (2018) </w:t>
      </w:r>
      <w:hyperlink r:id="rId24" w:history="1">
        <w:r w:rsidRPr="00DA5CB5">
          <w:rPr>
            <w:rFonts w:cstheme="minorHAnsi"/>
            <w:sz w:val="18"/>
          </w:rPr>
          <w:t>Mechanisms underlying weight status and healthcare avoidance in women: A study of weight stigma, body-related shame and guilt, and healthcare stress</w:t>
        </w:r>
      </w:hyperlink>
      <w:r w:rsidRPr="00DA5CB5">
        <w:rPr>
          <w:rFonts w:cstheme="minorHAnsi"/>
          <w:sz w:val="18"/>
        </w:rPr>
        <w:t>, Body Image, Vol 25, pp139-147.</w:t>
      </w:r>
    </w:p>
  </w:endnote>
  <w:endnote w:id="43">
    <w:p w14:paraId="2E1AA772" w14:textId="65DF4750" w:rsidR="00D76FEF" w:rsidRPr="00DA5CB5" w:rsidRDefault="00D76FEF" w:rsidP="001C49F0">
      <w:pPr>
        <w:pStyle w:val="EndnoteText"/>
        <w:rPr>
          <w:rFonts w:cstheme="minorHAnsi"/>
          <w:sz w:val="18"/>
        </w:rPr>
      </w:pPr>
      <w:r w:rsidRPr="00DA5CB5">
        <w:rPr>
          <w:rStyle w:val="EndnoteReference"/>
          <w:rFonts w:cstheme="minorHAnsi"/>
          <w:sz w:val="18"/>
        </w:rPr>
        <w:endnoteRef/>
      </w:r>
      <w:r w:rsidRPr="00DA5CB5">
        <w:rPr>
          <w:rFonts w:cstheme="minorHAnsi"/>
          <w:sz w:val="18"/>
        </w:rPr>
        <w:t xml:space="preserve"> </w:t>
      </w:r>
      <w:hyperlink r:id="rId25" w:history="1">
        <w:r w:rsidRPr="00DA5CB5">
          <w:rPr>
            <w:rFonts w:cstheme="minorHAnsi"/>
            <w:sz w:val="18"/>
          </w:rPr>
          <w:t>Doctors underestimate obese patients' weight loss attempts: study</w:t>
        </w:r>
      </w:hyperlink>
      <w:r w:rsidRPr="00DA5CB5">
        <w:rPr>
          <w:rFonts w:cstheme="minorHAnsi"/>
          <w:sz w:val="18"/>
        </w:rPr>
        <w:t xml:space="preserve"> SMH 2019 and </w:t>
      </w:r>
      <w:proofErr w:type="spellStart"/>
      <w:r w:rsidRPr="00DA5CB5">
        <w:rPr>
          <w:rFonts w:cstheme="minorHAnsi"/>
          <w:sz w:val="18"/>
        </w:rPr>
        <w:t>Caterson</w:t>
      </w:r>
      <w:proofErr w:type="spellEnd"/>
      <w:r w:rsidRPr="00DA5CB5">
        <w:rPr>
          <w:rFonts w:cstheme="minorHAnsi"/>
          <w:sz w:val="18"/>
        </w:rPr>
        <w:t xml:space="preserve">, I., </w:t>
      </w:r>
      <w:proofErr w:type="spellStart"/>
      <w:r w:rsidRPr="00DA5CB5">
        <w:rPr>
          <w:rFonts w:cstheme="minorHAnsi"/>
          <w:sz w:val="18"/>
        </w:rPr>
        <w:t>Alfadda</w:t>
      </w:r>
      <w:proofErr w:type="spellEnd"/>
      <w:r w:rsidRPr="00DA5CB5">
        <w:rPr>
          <w:rFonts w:cstheme="minorHAnsi"/>
          <w:sz w:val="18"/>
        </w:rPr>
        <w:t xml:space="preserve">, A., Auerbach, P., Coutinho, W., Cuevas, A., Hughes, C., </w:t>
      </w:r>
      <w:proofErr w:type="spellStart"/>
      <w:r w:rsidRPr="00DA5CB5">
        <w:rPr>
          <w:rFonts w:cstheme="minorHAnsi"/>
          <w:sz w:val="18"/>
        </w:rPr>
        <w:t>Iwabu</w:t>
      </w:r>
      <w:proofErr w:type="spellEnd"/>
      <w:r w:rsidRPr="00DA5CB5">
        <w:rPr>
          <w:rFonts w:cstheme="minorHAnsi"/>
          <w:sz w:val="18"/>
        </w:rPr>
        <w:t xml:space="preserve">, M., Kang, J., </w:t>
      </w:r>
      <w:proofErr w:type="spellStart"/>
      <w:r w:rsidRPr="00DA5CB5">
        <w:rPr>
          <w:rFonts w:cstheme="minorHAnsi"/>
          <w:sz w:val="18"/>
        </w:rPr>
        <w:t>Nawar</w:t>
      </w:r>
      <w:proofErr w:type="spellEnd"/>
      <w:r w:rsidRPr="00DA5CB5">
        <w:rPr>
          <w:rFonts w:cstheme="minorHAnsi"/>
          <w:sz w:val="18"/>
        </w:rPr>
        <w:t>, R., Reynosa, R., et al (2019</w:t>
      </w:r>
      <w:hyperlink r:id="rId26" w:history="1">
        <w:r w:rsidRPr="00DA5CB5">
          <w:rPr>
            <w:rFonts w:cstheme="minorHAnsi"/>
            <w:sz w:val="18"/>
          </w:rPr>
          <w:t>). Gaps to bridge: misalignment between perception, reality and actions in obesity. Diabetes, Obesity and Metabolism</w:t>
        </w:r>
      </w:hyperlink>
      <w:r w:rsidRPr="00DA5CB5">
        <w:rPr>
          <w:rFonts w:cstheme="minorHAnsi"/>
          <w:sz w:val="18"/>
        </w:rPr>
        <w:t>, 21(8), 1914-1924</w:t>
      </w:r>
    </w:p>
  </w:endnote>
  <w:endnote w:id="44">
    <w:p w14:paraId="2B3C8961" w14:textId="6A9C51F5" w:rsidR="00D76FEF" w:rsidRPr="00DA5CB5" w:rsidRDefault="00D76FEF" w:rsidP="001C49F0">
      <w:pPr>
        <w:spacing w:after="0" w:line="240" w:lineRule="auto"/>
        <w:rPr>
          <w:rFonts w:cstheme="minorHAnsi"/>
          <w:color w:val="303030"/>
          <w:sz w:val="18"/>
          <w:szCs w:val="20"/>
          <w:shd w:val="clear" w:color="auto" w:fill="FFFFFF"/>
        </w:rPr>
      </w:pPr>
      <w:r w:rsidRPr="00DA5CB5">
        <w:rPr>
          <w:rStyle w:val="EndnoteReference"/>
          <w:rFonts w:cstheme="minorHAnsi"/>
          <w:sz w:val="18"/>
          <w:szCs w:val="20"/>
        </w:rPr>
        <w:endnoteRef/>
      </w:r>
      <w:r w:rsidRPr="00DA5CB5">
        <w:rPr>
          <w:rFonts w:cstheme="minorHAnsi"/>
          <w:sz w:val="18"/>
          <w:szCs w:val="20"/>
        </w:rPr>
        <w:t xml:space="preserve"> </w:t>
      </w:r>
      <w:r w:rsidRPr="00DA5CB5">
        <w:rPr>
          <w:rFonts w:cstheme="minorHAnsi"/>
          <w:color w:val="303030"/>
          <w:sz w:val="18"/>
          <w:szCs w:val="20"/>
          <w:shd w:val="clear" w:color="auto" w:fill="FFFFFF"/>
        </w:rPr>
        <w:t>Phelan, S M et al</w:t>
      </w:r>
      <w:r w:rsidR="00D4067D" w:rsidRPr="00DA5CB5">
        <w:rPr>
          <w:rFonts w:cstheme="minorHAnsi"/>
          <w:color w:val="303030"/>
          <w:sz w:val="18"/>
          <w:szCs w:val="20"/>
          <w:shd w:val="clear" w:color="auto" w:fill="FFFFFF"/>
        </w:rPr>
        <w:t xml:space="preserve"> (2015)</w:t>
      </w:r>
      <w:r w:rsidRPr="00DA5CB5">
        <w:rPr>
          <w:rFonts w:cstheme="minorHAnsi"/>
          <w:color w:val="303030"/>
          <w:sz w:val="18"/>
          <w:szCs w:val="20"/>
          <w:shd w:val="clear" w:color="auto" w:fill="FFFFFF"/>
        </w:rPr>
        <w:t xml:space="preserve">. </w:t>
      </w:r>
      <w:hyperlink r:id="rId27" w:history="1">
        <w:r w:rsidRPr="00DA5CB5">
          <w:rPr>
            <w:rFonts w:cstheme="minorHAnsi"/>
            <w:sz w:val="18"/>
            <w:szCs w:val="20"/>
            <w:shd w:val="clear" w:color="auto" w:fill="FFFFFF"/>
          </w:rPr>
          <w:t>“Impact of weight bias and stigma on quality of care and outcomes for patients with obesity.</w:t>
        </w:r>
      </w:hyperlink>
      <w:r w:rsidRPr="00DA5CB5">
        <w:rPr>
          <w:rFonts w:cstheme="minorHAnsi"/>
          <w:color w:val="303030"/>
          <w:sz w:val="18"/>
          <w:szCs w:val="20"/>
          <w:shd w:val="clear" w:color="auto" w:fill="FFFFFF"/>
        </w:rPr>
        <w:t>” </w:t>
      </w:r>
      <w:r w:rsidRPr="00DA5CB5">
        <w:rPr>
          <w:rFonts w:cstheme="minorHAnsi"/>
          <w:i/>
          <w:iCs/>
          <w:color w:val="303030"/>
          <w:sz w:val="18"/>
          <w:szCs w:val="20"/>
          <w:shd w:val="clear" w:color="auto" w:fill="FFFFFF"/>
        </w:rPr>
        <w:t xml:space="preserve">Obesity </w:t>
      </w:r>
      <w:proofErr w:type="gramStart"/>
      <w:r w:rsidRPr="00DA5CB5">
        <w:rPr>
          <w:rFonts w:cstheme="minorHAnsi"/>
          <w:i/>
          <w:iCs/>
          <w:color w:val="303030"/>
          <w:sz w:val="18"/>
          <w:szCs w:val="20"/>
          <w:shd w:val="clear" w:color="auto" w:fill="FFFFFF"/>
        </w:rPr>
        <w:t>reviews :</w:t>
      </w:r>
      <w:proofErr w:type="gramEnd"/>
      <w:r w:rsidRPr="00DA5CB5">
        <w:rPr>
          <w:rFonts w:cstheme="minorHAnsi"/>
          <w:i/>
          <w:iCs/>
          <w:color w:val="303030"/>
          <w:sz w:val="18"/>
          <w:szCs w:val="20"/>
          <w:shd w:val="clear" w:color="auto" w:fill="FFFFFF"/>
        </w:rPr>
        <w:t xml:space="preserve"> an official journal of the International Association for the Study of Obesity</w:t>
      </w:r>
      <w:r w:rsidRPr="00DA5CB5">
        <w:rPr>
          <w:rFonts w:cstheme="minorHAnsi"/>
          <w:color w:val="303030"/>
          <w:sz w:val="18"/>
          <w:szCs w:val="20"/>
          <w:shd w:val="clear" w:color="auto" w:fill="FFFFFF"/>
        </w:rPr>
        <w:t>  16</w:t>
      </w:r>
      <w:r w:rsidR="00D4067D" w:rsidRPr="00DA5CB5">
        <w:rPr>
          <w:rFonts w:cstheme="minorHAnsi"/>
          <w:color w:val="303030"/>
          <w:sz w:val="18"/>
          <w:szCs w:val="20"/>
          <w:shd w:val="clear" w:color="auto" w:fill="FFFFFF"/>
        </w:rPr>
        <w:t>(</w:t>
      </w:r>
      <w:r w:rsidRPr="00DA5CB5">
        <w:rPr>
          <w:rFonts w:cstheme="minorHAnsi"/>
          <w:color w:val="303030"/>
          <w:sz w:val="18"/>
          <w:szCs w:val="20"/>
          <w:shd w:val="clear" w:color="auto" w:fill="FFFFFF"/>
        </w:rPr>
        <w:t>4</w:t>
      </w:r>
      <w:r w:rsidR="00D4067D" w:rsidRPr="00DA5CB5">
        <w:rPr>
          <w:rFonts w:cstheme="minorHAnsi"/>
          <w:color w:val="303030"/>
          <w:sz w:val="18"/>
          <w:szCs w:val="20"/>
          <w:shd w:val="clear" w:color="auto" w:fill="FFFFFF"/>
        </w:rPr>
        <w:t xml:space="preserve">), pp </w:t>
      </w:r>
      <w:r w:rsidRPr="00DA5CB5">
        <w:rPr>
          <w:rFonts w:cstheme="minorHAnsi"/>
          <w:color w:val="303030"/>
          <w:sz w:val="18"/>
          <w:szCs w:val="20"/>
          <w:shd w:val="clear" w:color="auto" w:fill="FFFFFF"/>
        </w:rPr>
        <w:t>319-26. doi:10.1111/obr.12266</w:t>
      </w:r>
    </w:p>
  </w:endnote>
  <w:endnote w:id="45">
    <w:p w14:paraId="5AD758C4" w14:textId="1D7BF3BB" w:rsidR="00D76FEF" w:rsidRPr="00DA5CB5" w:rsidRDefault="00D76FEF" w:rsidP="001C49F0">
      <w:pPr>
        <w:pStyle w:val="EndnoteText"/>
        <w:rPr>
          <w:rFonts w:ascii="Arial" w:hAnsi="Arial" w:cs="Arial"/>
          <w:sz w:val="18"/>
        </w:rPr>
      </w:pPr>
      <w:r w:rsidRPr="00DA5CB5">
        <w:rPr>
          <w:rStyle w:val="EndnoteReference"/>
          <w:rFonts w:cstheme="minorHAnsi"/>
          <w:sz w:val="18"/>
        </w:rPr>
        <w:endnoteRef/>
      </w:r>
      <w:r w:rsidRPr="00DA5CB5">
        <w:rPr>
          <w:rFonts w:cstheme="minorHAnsi"/>
          <w:sz w:val="18"/>
        </w:rPr>
        <w:t xml:space="preserve"> </w:t>
      </w:r>
      <w:r w:rsidR="00D4067D" w:rsidRPr="00DA5CB5">
        <w:rPr>
          <w:rFonts w:cstheme="minorHAnsi"/>
          <w:sz w:val="18"/>
        </w:rPr>
        <w:t xml:space="preserve">Tomiyama et al (2014), </w:t>
      </w:r>
      <w:hyperlink r:id="rId28" w:history="1">
        <w:r w:rsidRPr="00DA5CB5">
          <w:rPr>
            <w:rFonts w:cstheme="minorHAnsi"/>
            <w:sz w:val="18"/>
          </w:rPr>
          <w:t>Weight bias in 2001 versus 2013: Contradictory attitudes among obesity researchers and health professionals</w:t>
        </w:r>
      </w:hyperlink>
      <w:r w:rsidRPr="00DA5CB5">
        <w:rPr>
          <w:rFonts w:cstheme="minorHAnsi"/>
          <w:sz w:val="18"/>
        </w:rPr>
        <w:t xml:space="preserve">  </w:t>
      </w:r>
      <w:r w:rsidR="00D4067D" w:rsidRPr="00DA5CB5">
        <w:rPr>
          <w:rFonts w:cstheme="minorHAnsi"/>
          <w:sz w:val="18"/>
        </w:rPr>
        <w:t xml:space="preserve">in </w:t>
      </w:r>
      <w:r w:rsidRPr="00DA5CB5">
        <w:rPr>
          <w:rFonts w:cstheme="minorHAnsi"/>
          <w:i/>
          <w:sz w:val="18"/>
        </w:rPr>
        <w:t>Obesity</w:t>
      </w:r>
      <w:r w:rsidRPr="00DA5CB5">
        <w:rPr>
          <w:rFonts w:cstheme="minorHAnsi"/>
          <w:sz w:val="18"/>
        </w:rPr>
        <w:t xml:space="preserve"> </w:t>
      </w:r>
      <w:r w:rsidR="00D4067D" w:rsidRPr="00DA5CB5">
        <w:rPr>
          <w:rFonts w:cstheme="minorHAnsi"/>
          <w:sz w:val="18"/>
        </w:rPr>
        <w:t>23(1), pp 46-53.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36325" w14:textId="77777777" w:rsidR="00F413E8" w:rsidRDefault="00F413E8" w:rsidP="009804CA">
      <w:pPr>
        <w:spacing w:after="0" w:line="240" w:lineRule="auto"/>
      </w:pPr>
      <w:r>
        <w:separator/>
      </w:r>
    </w:p>
  </w:footnote>
  <w:footnote w:type="continuationSeparator" w:id="0">
    <w:p w14:paraId="310F4B40" w14:textId="77777777" w:rsidR="00F413E8" w:rsidRDefault="00F413E8" w:rsidP="00980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5015D" w14:textId="77777777" w:rsidR="009D1456" w:rsidRDefault="009D1456" w:rsidP="009D1456">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C972" w14:textId="5CE8EAC7" w:rsidR="009D1456" w:rsidRDefault="009D1456" w:rsidP="00270448">
    <w:pPr>
      <w:pStyle w:val="Header"/>
      <w:ind w:left="-142"/>
    </w:pPr>
    <w:r>
      <w:rPr>
        <w:rFonts w:ascii="Arial" w:eastAsiaTheme="majorEastAsia" w:hAnsi="Arial" w:cs="Arial"/>
        <w:b/>
        <w:bCs/>
        <w:noProof/>
        <w:color w:val="009CA6"/>
        <w:sz w:val="44"/>
        <w:szCs w:val="28"/>
      </w:rPr>
      <w:drawing>
        <wp:inline distT="0" distB="0" distL="0" distR="0" wp14:anchorId="2C2A6BAD" wp14:editId="46FDF383">
          <wp:extent cx="6494780" cy="10190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gif"/>
                  <pic:cNvPicPr/>
                </pic:nvPicPr>
                <pic:blipFill>
                  <a:blip r:embed="rId1">
                    <a:extLst>
                      <a:ext uri="{28A0092B-C50C-407E-A947-70E740481C1C}">
                        <a14:useLocalDpi xmlns:a14="http://schemas.microsoft.com/office/drawing/2010/main" val="0"/>
                      </a:ext>
                    </a:extLst>
                  </a:blip>
                  <a:stretch>
                    <a:fillRect/>
                  </a:stretch>
                </pic:blipFill>
                <pic:spPr>
                  <a:xfrm>
                    <a:off x="0" y="0"/>
                    <a:ext cx="6679585" cy="1048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1BB8"/>
    <w:multiLevelType w:val="hybridMultilevel"/>
    <w:tmpl w:val="3A460E58"/>
    <w:lvl w:ilvl="0" w:tplc="0C090001">
      <w:start w:val="1"/>
      <w:numFmt w:val="bullet"/>
      <w:lvlText w:val=""/>
      <w:lvlJc w:val="left"/>
      <w:pPr>
        <w:ind w:left="2728" w:hanging="360"/>
      </w:pPr>
      <w:rPr>
        <w:rFonts w:ascii="Symbol" w:hAnsi="Symbol" w:hint="default"/>
      </w:rPr>
    </w:lvl>
    <w:lvl w:ilvl="1" w:tplc="0C090003" w:tentative="1">
      <w:start w:val="1"/>
      <w:numFmt w:val="bullet"/>
      <w:lvlText w:val="o"/>
      <w:lvlJc w:val="left"/>
      <w:pPr>
        <w:ind w:left="3448" w:hanging="360"/>
      </w:pPr>
      <w:rPr>
        <w:rFonts w:ascii="Courier New" w:hAnsi="Courier New" w:cs="Courier New" w:hint="default"/>
      </w:rPr>
    </w:lvl>
    <w:lvl w:ilvl="2" w:tplc="0C090005" w:tentative="1">
      <w:start w:val="1"/>
      <w:numFmt w:val="bullet"/>
      <w:lvlText w:val=""/>
      <w:lvlJc w:val="left"/>
      <w:pPr>
        <w:ind w:left="4168" w:hanging="360"/>
      </w:pPr>
      <w:rPr>
        <w:rFonts w:ascii="Wingdings" w:hAnsi="Wingdings" w:hint="default"/>
      </w:rPr>
    </w:lvl>
    <w:lvl w:ilvl="3" w:tplc="0C090001" w:tentative="1">
      <w:start w:val="1"/>
      <w:numFmt w:val="bullet"/>
      <w:lvlText w:val=""/>
      <w:lvlJc w:val="left"/>
      <w:pPr>
        <w:ind w:left="4888" w:hanging="360"/>
      </w:pPr>
      <w:rPr>
        <w:rFonts w:ascii="Symbol" w:hAnsi="Symbol" w:hint="default"/>
      </w:rPr>
    </w:lvl>
    <w:lvl w:ilvl="4" w:tplc="0C090003" w:tentative="1">
      <w:start w:val="1"/>
      <w:numFmt w:val="bullet"/>
      <w:lvlText w:val="o"/>
      <w:lvlJc w:val="left"/>
      <w:pPr>
        <w:ind w:left="5608" w:hanging="360"/>
      </w:pPr>
      <w:rPr>
        <w:rFonts w:ascii="Courier New" w:hAnsi="Courier New" w:cs="Courier New" w:hint="default"/>
      </w:rPr>
    </w:lvl>
    <w:lvl w:ilvl="5" w:tplc="0C090005" w:tentative="1">
      <w:start w:val="1"/>
      <w:numFmt w:val="bullet"/>
      <w:lvlText w:val=""/>
      <w:lvlJc w:val="left"/>
      <w:pPr>
        <w:ind w:left="6328" w:hanging="360"/>
      </w:pPr>
      <w:rPr>
        <w:rFonts w:ascii="Wingdings" w:hAnsi="Wingdings" w:hint="default"/>
      </w:rPr>
    </w:lvl>
    <w:lvl w:ilvl="6" w:tplc="0C090001" w:tentative="1">
      <w:start w:val="1"/>
      <w:numFmt w:val="bullet"/>
      <w:lvlText w:val=""/>
      <w:lvlJc w:val="left"/>
      <w:pPr>
        <w:ind w:left="7048" w:hanging="360"/>
      </w:pPr>
      <w:rPr>
        <w:rFonts w:ascii="Symbol" w:hAnsi="Symbol" w:hint="default"/>
      </w:rPr>
    </w:lvl>
    <w:lvl w:ilvl="7" w:tplc="0C090003" w:tentative="1">
      <w:start w:val="1"/>
      <w:numFmt w:val="bullet"/>
      <w:lvlText w:val="o"/>
      <w:lvlJc w:val="left"/>
      <w:pPr>
        <w:ind w:left="7768" w:hanging="360"/>
      </w:pPr>
      <w:rPr>
        <w:rFonts w:ascii="Courier New" w:hAnsi="Courier New" w:cs="Courier New" w:hint="default"/>
      </w:rPr>
    </w:lvl>
    <w:lvl w:ilvl="8" w:tplc="0C090005" w:tentative="1">
      <w:start w:val="1"/>
      <w:numFmt w:val="bullet"/>
      <w:lvlText w:val=""/>
      <w:lvlJc w:val="left"/>
      <w:pPr>
        <w:ind w:left="8488" w:hanging="360"/>
      </w:pPr>
      <w:rPr>
        <w:rFonts w:ascii="Wingdings" w:hAnsi="Wingdings" w:hint="default"/>
      </w:rPr>
    </w:lvl>
  </w:abstractNum>
  <w:abstractNum w:abstractNumId="1" w15:restartNumberingAfterBreak="0">
    <w:nsid w:val="0ABA2A0A"/>
    <w:multiLevelType w:val="hybridMultilevel"/>
    <w:tmpl w:val="E2CC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D16B06"/>
    <w:multiLevelType w:val="hybridMultilevel"/>
    <w:tmpl w:val="06F8B762"/>
    <w:lvl w:ilvl="0" w:tplc="30383FD4">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A833DD"/>
    <w:multiLevelType w:val="hybridMultilevel"/>
    <w:tmpl w:val="31F02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B22011"/>
    <w:multiLevelType w:val="hybridMultilevel"/>
    <w:tmpl w:val="E0083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6B2DD8"/>
    <w:multiLevelType w:val="hybridMultilevel"/>
    <w:tmpl w:val="01AA52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5E5F8C"/>
    <w:multiLevelType w:val="hybridMultilevel"/>
    <w:tmpl w:val="A4421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396C94"/>
    <w:multiLevelType w:val="hybridMultilevel"/>
    <w:tmpl w:val="879E3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BD1A13"/>
    <w:multiLevelType w:val="hybridMultilevel"/>
    <w:tmpl w:val="E084CB86"/>
    <w:lvl w:ilvl="0" w:tplc="4528725A">
      <w:start w:val="1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A741553"/>
    <w:multiLevelType w:val="hybridMultilevel"/>
    <w:tmpl w:val="A7C84B9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57981EC8"/>
    <w:multiLevelType w:val="hybridMultilevel"/>
    <w:tmpl w:val="3DD0D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3D45DA"/>
    <w:multiLevelType w:val="hybridMultilevel"/>
    <w:tmpl w:val="0E380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DC109A"/>
    <w:multiLevelType w:val="hybridMultilevel"/>
    <w:tmpl w:val="526671F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D2A3114"/>
    <w:multiLevelType w:val="hybridMultilevel"/>
    <w:tmpl w:val="29922ED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6800D1"/>
    <w:multiLevelType w:val="hybridMultilevel"/>
    <w:tmpl w:val="BCB047AE"/>
    <w:lvl w:ilvl="0" w:tplc="DC5E96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A01952"/>
    <w:multiLevelType w:val="hybridMultilevel"/>
    <w:tmpl w:val="807EE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2B51D8"/>
    <w:multiLevelType w:val="hybridMultilevel"/>
    <w:tmpl w:val="206E9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EF3F95"/>
    <w:multiLevelType w:val="hybridMultilevel"/>
    <w:tmpl w:val="E736A3D2"/>
    <w:lvl w:ilvl="0" w:tplc="0C09000F">
      <w:start w:val="1"/>
      <w:numFmt w:val="decimal"/>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num w:numId="1">
    <w:abstractNumId w:val="16"/>
  </w:num>
  <w:num w:numId="2">
    <w:abstractNumId w:val="7"/>
  </w:num>
  <w:num w:numId="3">
    <w:abstractNumId w:val="11"/>
  </w:num>
  <w:num w:numId="4">
    <w:abstractNumId w:val="1"/>
  </w:num>
  <w:num w:numId="5">
    <w:abstractNumId w:val="9"/>
  </w:num>
  <w:num w:numId="6">
    <w:abstractNumId w:val="4"/>
  </w:num>
  <w:num w:numId="7">
    <w:abstractNumId w:val="6"/>
  </w:num>
  <w:num w:numId="8">
    <w:abstractNumId w:val="5"/>
  </w:num>
  <w:num w:numId="9">
    <w:abstractNumId w:val="15"/>
  </w:num>
  <w:num w:numId="10">
    <w:abstractNumId w:val="10"/>
  </w:num>
  <w:num w:numId="11">
    <w:abstractNumId w:val="0"/>
  </w:num>
  <w:num w:numId="12">
    <w:abstractNumId w:val="3"/>
  </w:num>
  <w:num w:numId="13">
    <w:abstractNumId w:val="17"/>
  </w:num>
  <w:num w:numId="14">
    <w:abstractNumId w:val="14"/>
  </w:num>
  <w:num w:numId="15">
    <w:abstractNumId w:val="12"/>
  </w:num>
  <w:num w:numId="16">
    <w:abstractNumId w:val="2"/>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CA"/>
    <w:rsid w:val="00024623"/>
    <w:rsid w:val="00042150"/>
    <w:rsid w:val="00045796"/>
    <w:rsid w:val="000F1D32"/>
    <w:rsid w:val="001233E0"/>
    <w:rsid w:val="001540FD"/>
    <w:rsid w:val="001903DA"/>
    <w:rsid w:val="001C49F0"/>
    <w:rsid w:val="00223E0E"/>
    <w:rsid w:val="002337B1"/>
    <w:rsid w:val="00260922"/>
    <w:rsid w:val="00265ACC"/>
    <w:rsid w:val="00270448"/>
    <w:rsid w:val="002A0139"/>
    <w:rsid w:val="002C3DCF"/>
    <w:rsid w:val="002C62D1"/>
    <w:rsid w:val="002F4DA3"/>
    <w:rsid w:val="0033277C"/>
    <w:rsid w:val="00374893"/>
    <w:rsid w:val="00380E29"/>
    <w:rsid w:val="0039528B"/>
    <w:rsid w:val="003C3634"/>
    <w:rsid w:val="003D20FF"/>
    <w:rsid w:val="003F58D5"/>
    <w:rsid w:val="00411F95"/>
    <w:rsid w:val="004132CD"/>
    <w:rsid w:val="00460E66"/>
    <w:rsid w:val="00491E6E"/>
    <w:rsid w:val="004927DB"/>
    <w:rsid w:val="004A7B16"/>
    <w:rsid w:val="004C7A20"/>
    <w:rsid w:val="004E6386"/>
    <w:rsid w:val="004F63B0"/>
    <w:rsid w:val="0051003A"/>
    <w:rsid w:val="00601DD0"/>
    <w:rsid w:val="0062640F"/>
    <w:rsid w:val="00695185"/>
    <w:rsid w:val="006C6BC6"/>
    <w:rsid w:val="006E38F2"/>
    <w:rsid w:val="00751DCF"/>
    <w:rsid w:val="007640A6"/>
    <w:rsid w:val="007D37DC"/>
    <w:rsid w:val="007F4C8C"/>
    <w:rsid w:val="007F6C41"/>
    <w:rsid w:val="008166E5"/>
    <w:rsid w:val="008204A5"/>
    <w:rsid w:val="008A3B5A"/>
    <w:rsid w:val="008A6D25"/>
    <w:rsid w:val="00905C27"/>
    <w:rsid w:val="009804CA"/>
    <w:rsid w:val="009D1456"/>
    <w:rsid w:val="00A17430"/>
    <w:rsid w:val="00A178A3"/>
    <w:rsid w:val="00A35914"/>
    <w:rsid w:val="00A679A2"/>
    <w:rsid w:val="00A75802"/>
    <w:rsid w:val="00A8381D"/>
    <w:rsid w:val="00AB3F09"/>
    <w:rsid w:val="00B0077A"/>
    <w:rsid w:val="00B27EB6"/>
    <w:rsid w:val="00B5139A"/>
    <w:rsid w:val="00B67AC1"/>
    <w:rsid w:val="00BB15C0"/>
    <w:rsid w:val="00BB4BA7"/>
    <w:rsid w:val="00BC3102"/>
    <w:rsid w:val="00C067FD"/>
    <w:rsid w:val="00C8644F"/>
    <w:rsid w:val="00C868DC"/>
    <w:rsid w:val="00CB16A8"/>
    <w:rsid w:val="00CB2975"/>
    <w:rsid w:val="00CD62B1"/>
    <w:rsid w:val="00D24344"/>
    <w:rsid w:val="00D4067D"/>
    <w:rsid w:val="00D6450C"/>
    <w:rsid w:val="00D76FEF"/>
    <w:rsid w:val="00D80AA0"/>
    <w:rsid w:val="00D829F8"/>
    <w:rsid w:val="00DA5CB5"/>
    <w:rsid w:val="00DB4FF6"/>
    <w:rsid w:val="00E43CEE"/>
    <w:rsid w:val="00E46E75"/>
    <w:rsid w:val="00E50937"/>
    <w:rsid w:val="00E55D66"/>
    <w:rsid w:val="00E83B1A"/>
    <w:rsid w:val="00E96FFF"/>
    <w:rsid w:val="00EE2C17"/>
    <w:rsid w:val="00F30662"/>
    <w:rsid w:val="00F413E8"/>
    <w:rsid w:val="00F65A7B"/>
    <w:rsid w:val="00FB1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6F7B78"/>
  <w15:chartTrackingRefBased/>
  <w15:docId w15:val="{9218C77D-9668-4B7C-BF8B-5181C089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4CA"/>
  </w:style>
  <w:style w:type="paragraph" w:styleId="Heading2">
    <w:name w:val="heading 2"/>
    <w:basedOn w:val="Normal"/>
    <w:next w:val="Normal"/>
    <w:link w:val="Heading2Char"/>
    <w:uiPriority w:val="9"/>
    <w:unhideWhenUsed/>
    <w:qFormat/>
    <w:rsid w:val="009804C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AU"/>
    </w:rPr>
  </w:style>
  <w:style w:type="paragraph" w:styleId="Heading3">
    <w:name w:val="heading 3"/>
    <w:aliases w:val="Sub Heading"/>
    <w:basedOn w:val="Normal"/>
    <w:next w:val="Normal"/>
    <w:link w:val="Heading3Char"/>
    <w:uiPriority w:val="9"/>
    <w:unhideWhenUsed/>
    <w:qFormat/>
    <w:rsid w:val="009804CA"/>
    <w:pPr>
      <w:keepNext/>
      <w:keepLines/>
      <w:spacing w:before="200"/>
      <w:outlineLvl w:val="2"/>
    </w:pPr>
    <w:rPr>
      <w:rFonts w:eastAsiaTheme="majorEastAsia" w:cstheme="majorBidi"/>
      <w:b/>
      <w:bCs/>
      <w:color w:val="E57200"/>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4CA"/>
    <w:rPr>
      <w:rFonts w:asciiTheme="majorHAnsi" w:eastAsiaTheme="majorEastAsia" w:hAnsiTheme="majorHAnsi" w:cstheme="majorBidi"/>
      <w:color w:val="2F5496" w:themeColor="accent1" w:themeShade="BF"/>
      <w:sz w:val="26"/>
      <w:szCs w:val="26"/>
      <w:lang w:eastAsia="en-AU"/>
    </w:rPr>
  </w:style>
  <w:style w:type="character" w:customStyle="1" w:styleId="Heading3Char">
    <w:name w:val="Heading 3 Char"/>
    <w:aliases w:val="Sub Heading Char"/>
    <w:basedOn w:val="DefaultParagraphFont"/>
    <w:link w:val="Heading3"/>
    <w:uiPriority w:val="9"/>
    <w:rsid w:val="009804CA"/>
    <w:rPr>
      <w:rFonts w:eastAsiaTheme="majorEastAsia" w:cstheme="majorBidi"/>
      <w:b/>
      <w:bCs/>
      <w:color w:val="E57200"/>
      <w:sz w:val="24"/>
      <w:lang w:eastAsia="en-AU"/>
    </w:rPr>
  </w:style>
  <w:style w:type="character" w:styleId="Hyperlink">
    <w:name w:val="Hyperlink"/>
    <w:basedOn w:val="DefaultParagraphFont"/>
    <w:uiPriority w:val="99"/>
    <w:unhideWhenUsed/>
    <w:rsid w:val="009804CA"/>
    <w:rPr>
      <w:color w:val="0000FF"/>
      <w:u w:val="single"/>
    </w:rPr>
  </w:style>
  <w:style w:type="character" w:styleId="FootnoteReference">
    <w:name w:val="footnote reference"/>
    <w:aliases w:val="NO,Footnotes refss,Footnote number,Footnote"/>
    <w:basedOn w:val="DefaultParagraphFont"/>
    <w:uiPriority w:val="99"/>
    <w:unhideWhenUsed/>
    <w:rsid w:val="009804CA"/>
    <w:rPr>
      <w:rFonts w:cs="Times New Roman"/>
      <w:vertAlign w:val="superscript"/>
    </w:rPr>
  </w:style>
  <w:style w:type="paragraph" w:styleId="FootnoteText">
    <w:name w:val="footnote text"/>
    <w:basedOn w:val="Normal"/>
    <w:link w:val="FootnoteTextChar"/>
    <w:uiPriority w:val="99"/>
    <w:unhideWhenUsed/>
    <w:rsid w:val="009804CA"/>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9804CA"/>
    <w:rPr>
      <w:rFonts w:eastAsiaTheme="minorEastAsia" w:cs="Times New Roman"/>
      <w:sz w:val="20"/>
      <w:szCs w:val="20"/>
    </w:rPr>
  </w:style>
  <w:style w:type="paragraph" w:styleId="NoSpacing">
    <w:name w:val="No Spacing"/>
    <w:uiPriority w:val="1"/>
    <w:qFormat/>
    <w:rsid w:val="009804CA"/>
    <w:pPr>
      <w:spacing w:after="0" w:line="240" w:lineRule="auto"/>
    </w:pPr>
    <w:rPr>
      <w:rFonts w:eastAsiaTheme="minorEastAsia" w:cs="Times New Roman"/>
    </w:rPr>
  </w:style>
  <w:style w:type="paragraph" w:styleId="ListParagraph">
    <w:name w:val="List Paragraph"/>
    <w:basedOn w:val="Normal"/>
    <w:uiPriority w:val="34"/>
    <w:qFormat/>
    <w:rsid w:val="009804CA"/>
    <w:pPr>
      <w:ind w:left="720"/>
      <w:contextualSpacing/>
    </w:pPr>
  </w:style>
  <w:style w:type="character" w:styleId="UnresolvedMention">
    <w:name w:val="Unresolved Mention"/>
    <w:basedOn w:val="DefaultParagraphFont"/>
    <w:uiPriority w:val="99"/>
    <w:semiHidden/>
    <w:unhideWhenUsed/>
    <w:rsid w:val="0039528B"/>
    <w:rPr>
      <w:color w:val="605E5C"/>
      <w:shd w:val="clear" w:color="auto" w:fill="E1DFDD"/>
    </w:rPr>
  </w:style>
  <w:style w:type="paragraph" w:styleId="NormalWeb">
    <w:name w:val="Normal (Web)"/>
    <w:basedOn w:val="Normal"/>
    <w:uiPriority w:val="99"/>
    <w:semiHidden/>
    <w:unhideWhenUsed/>
    <w:rsid w:val="004A7B1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C3102"/>
    <w:rPr>
      <w:color w:val="954F72" w:themeColor="followedHyperlink"/>
      <w:u w:val="single"/>
    </w:rPr>
  </w:style>
  <w:style w:type="paragraph" w:styleId="BalloonText">
    <w:name w:val="Balloon Text"/>
    <w:basedOn w:val="Normal"/>
    <w:link w:val="BalloonTextChar"/>
    <w:uiPriority w:val="99"/>
    <w:semiHidden/>
    <w:unhideWhenUsed/>
    <w:rsid w:val="00A17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A3"/>
    <w:rPr>
      <w:rFonts w:ascii="Segoe UI" w:hAnsi="Segoe UI" w:cs="Segoe UI"/>
      <w:sz w:val="18"/>
      <w:szCs w:val="18"/>
    </w:rPr>
  </w:style>
  <w:style w:type="paragraph" w:styleId="Header">
    <w:name w:val="header"/>
    <w:basedOn w:val="Normal"/>
    <w:link w:val="HeaderChar"/>
    <w:uiPriority w:val="99"/>
    <w:unhideWhenUsed/>
    <w:rsid w:val="009D1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56"/>
  </w:style>
  <w:style w:type="paragraph" w:styleId="Footer">
    <w:name w:val="footer"/>
    <w:basedOn w:val="Normal"/>
    <w:link w:val="FooterChar"/>
    <w:uiPriority w:val="99"/>
    <w:unhideWhenUsed/>
    <w:rsid w:val="009D1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56"/>
  </w:style>
  <w:style w:type="character" w:styleId="CommentReference">
    <w:name w:val="annotation reference"/>
    <w:basedOn w:val="DefaultParagraphFont"/>
    <w:uiPriority w:val="99"/>
    <w:semiHidden/>
    <w:unhideWhenUsed/>
    <w:rsid w:val="003F58D5"/>
    <w:rPr>
      <w:sz w:val="16"/>
      <w:szCs w:val="16"/>
    </w:rPr>
  </w:style>
  <w:style w:type="paragraph" w:styleId="CommentText">
    <w:name w:val="annotation text"/>
    <w:basedOn w:val="Normal"/>
    <w:link w:val="CommentTextChar"/>
    <w:uiPriority w:val="99"/>
    <w:semiHidden/>
    <w:unhideWhenUsed/>
    <w:rsid w:val="003F58D5"/>
    <w:pPr>
      <w:spacing w:line="240" w:lineRule="auto"/>
    </w:pPr>
    <w:rPr>
      <w:sz w:val="20"/>
      <w:szCs w:val="20"/>
    </w:rPr>
  </w:style>
  <w:style w:type="character" w:customStyle="1" w:styleId="CommentTextChar">
    <w:name w:val="Comment Text Char"/>
    <w:basedOn w:val="DefaultParagraphFont"/>
    <w:link w:val="CommentText"/>
    <w:uiPriority w:val="99"/>
    <w:semiHidden/>
    <w:rsid w:val="003F58D5"/>
    <w:rPr>
      <w:sz w:val="20"/>
      <w:szCs w:val="20"/>
    </w:rPr>
  </w:style>
  <w:style w:type="paragraph" w:styleId="CommentSubject">
    <w:name w:val="annotation subject"/>
    <w:basedOn w:val="CommentText"/>
    <w:next w:val="CommentText"/>
    <w:link w:val="CommentSubjectChar"/>
    <w:uiPriority w:val="99"/>
    <w:semiHidden/>
    <w:unhideWhenUsed/>
    <w:rsid w:val="003F58D5"/>
    <w:rPr>
      <w:b/>
      <w:bCs/>
    </w:rPr>
  </w:style>
  <w:style w:type="character" w:customStyle="1" w:styleId="CommentSubjectChar">
    <w:name w:val="Comment Subject Char"/>
    <w:basedOn w:val="CommentTextChar"/>
    <w:link w:val="CommentSubject"/>
    <w:uiPriority w:val="99"/>
    <w:semiHidden/>
    <w:rsid w:val="003F58D5"/>
    <w:rPr>
      <w:b/>
      <w:bCs/>
      <w:sz w:val="20"/>
      <w:szCs w:val="20"/>
    </w:rPr>
  </w:style>
  <w:style w:type="paragraph" w:styleId="Revision">
    <w:name w:val="Revision"/>
    <w:hidden/>
    <w:uiPriority w:val="99"/>
    <w:semiHidden/>
    <w:rsid w:val="00B27EB6"/>
    <w:pPr>
      <w:spacing w:after="0" w:line="240" w:lineRule="auto"/>
    </w:pPr>
  </w:style>
  <w:style w:type="paragraph" w:styleId="EndnoteText">
    <w:name w:val="endnote text"/>
    <w:basedOn w:val="Normal"/>
    <w:link w:val="EndnoteTextChar"/>
    <w:uiPriority w:val="99"/>
    <w:semiHidden/>
    <w:unhideWhenUsed/>
    <w:rsid w:val="00D76F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6FEF"/>
    <w:rPr>
      <w:sz w:val="20"/>
      <w:szCs w:val="20"/>
    </w:rPr>
  </w:style>
  <w:style w:type="character" w:styleId="EndnoteReference">
    <w:name w:val="endnote reference"/>
    <w:basedOn w:val="DefaultParagraphFont"/>
    <w:uiPriority w:val="99"/>
    <w:semiHidden/>
    <w:unhideWhenUsed/>
    <w:rsid w:val="00D76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ctorianwomenshealthatlas.net.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vic.gov.au/healthpromotion/downloads/best_bet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campaigns.health.gov.au/sites/g/files/net3246/f/insights_report.pdf" TargetMode="External"/><Relationship Id="rId13" Type="http://schemas.openxmlformats.org/officeDocument/2006/relationships/hyperlink" Target="https://www.saxinstitute.org.au/wp-content/uploads/19.11_Evidence-Check_Determinants-Healthy-Weight.pdf" TargetMode="External"/><Relationship Id="rId18" Type="http://schemas.openxmlformats.org/officeDocument/2006/relationships/hyperlink" Target="https://psycnet.apa.org/record/2016-60704-001" TargetMode="External"/><Relationship Id="rId26" Type="http://schemas.openxmlformats.org/officeDocument/2006/relationships/hyperlink" Target="https://onlinelibrary.wiley.com/doi/full/10.1111/dom.13752" TargetMode="External"/><Relationship Id="rId3" Type="http://schemas.openxmlformats.org/officeDocument/2006/relationships/hyperlink" Target="https://eatingdisordersaustralia.org.au/australias-body-image-distortion/" TargetMode="External"/><Relationship Id="rId21" Type="http://schemas.openxmlformats.org/officeDocument/2006/relationships/hyperlink" Target="https://www.ncbi.nlm.nih.gov/pubmed/21944718" TargetMode="External"/><Relationship Id="rId7" Type="http://schemas.openxmlformats.org/officeDocument/2006/relationships/hyperlink" Target="https://www.missionaustralia.com.au/news-blog/news-media/persistent-rise-in-youth-psychological-distress-spurs-urgent-call-for-action" TargetMode="External"/><Relationship Id="rId12" Type="http://schemas.openxmlformats.org/officeDocument/2006/relationships/hyperlink" Target="https://www.parliament.vic.gov.au/images/stories/committees/fcdc/inquiries/58th/Perinatal/Inquiry_into_Perinatal_Services_.pdf" TargetMode="External"/><Relationship Id="rId17" Type="http://schemas.openxmlformats.org/officeDocument/2006/relationships/hyperlink" Target="https://www.ncbi.nlm.nih.gov/pubmed/21944718" TargetMode="External"/><Relationship Id="rId25" Type="http://schemas.openxmlformats.org/officeDocument/2006/relationships/hyperlink" Target="https://www.smh.com.au/lifestyle/health-and-wellness/doctors-underestimate-patients-weight-loss-attempts-study-20190429-p51i4b.html" TargetMode="External"/><Relationship Id="rId2" Type="http://schemas.openxmlformats.org/officeDocument/2006/relationships/hyperlink" Target="https://www.nedc.com.au/eating-disorders/eating-disorders-explained/risk-and-protective-factors/" TargetMode="External"/><Relationship Id="rId16" Type="http://schemas.openxmlformats.org/officeDocument/2006/relationships/hyperlink" Target="https://www.obesityaction.org/community/article-library/weight-bias-does-it-affect-men-and-women-differently/" TargetMode="External"/><Relationship Id="rId20" Type="http://schemas.openxmlformats.org/officeDocument/2006/relationships/hyperlink" Target="https://pediatrics.aappublications.org/content/pediatrics/140/6/e20173034.full.pdf" TargetMode="External"/><Relationship Id="rId1" Type="http://schemas.openxmlformats.org/officeDocument/2006/relationships/hyperlink" Target="https://apps.who.int/iris/bitstream/handle/10665/112828/9789241506809_eng.pdf" TargetMode="External"/><Relationship Id="rId6" Type="http://schemas.openxmlformats.org/officeDocument/2006/relationships/hyperlink" Target="https://nedc.com.au/assets/NEDC-Publications/Evaluating-the-Risk-of-Harm-final.pdf" TargetMode="External"/><Relationship Id="rId11" Type="http://schemas.openxmlformats.org/officeDocument/2006/relationships/hyperlink" Target="https://mk0thisgirlcanfhvkpe.kinstacdn.com/app/uploads/2019/02/TGC-%E2%80%93-Victoria-Year-1-results.pdf" TargetMode="External"/><Relationship Id="rId24" Type="http://schemas.openxmlformats.org/officeDocument/2006/relationships/hyperlink" Target="https://www.sciencedirect.com/science/article/abs/pii/S1740144517303790?via%3Dihub" TargetMode="External"/><Relationship Id="rId5" Type="http://schemas.openxmlformats.org/officeDocument/2006/relationships/hyperlink" Target="https://bmcpregnancychildbirth.biomedcentral.com/track/pdf/10.1186/1471-2393-14-330" TargetMode="External"/><Relationship Id="rId15" Type="http://schemas.openxmlformats.org/officeDocument/2006/relationships/hyperlink" Target="https://www.ncbi.nlm.nih.gov/pmc/articles/PMC5846936/" TargetMode="External"/><Relationship Id="rId23" Type="http://schemas.openxmlformats.org/officeDocument/2006/relationships/hyperlink" Target="https://www.goldcoast.health.qld.gov.au/sites/default/files/GCH112_Healthwaves_AugSep17_FA_web.pdf" TargetMode="External"/><Relationship Id="rId28" Type="http://schemas.openxmlformats.org/officeDocument/2006/relationships/hyperlink" Target="https://www.ncbi.nlm.nih.gov/pubmed/25294247" TargetMode="External"/><Relationship Id="rId10" Type="http://schemas.openxmlformats.org/officeDocument/2006/relationships/hyperlink" Target="https://www.ncbi.nlm.nih.gov/pubmed/27580244" TargetMode="External"/><Relationship Id="rId19" Type="http://schemas.openxmlformats.org/officeDocument/2006/relationships/hyperlink" Target="https://bmcmedicine.biomedcentral.com/articles/10.1186/s12916-018-1116-5" TargetMode="External"/><Relationship Id="rId4" Type="http://schemas.openxmlformats.org/officeDocument/2006/relationships/hyperlink" Target="https://www.eatingdisorders.org.au/predisposing-factors/high-risk-groups" TargetMode="External"/><Relationship Id="rId9" Type="http://schemas.openxmlformats.org/officeDocument/2006/relationships/hyperlink" Target="https://whv.org.au/resources/whv-publications/growing-unequal-how-sex-and-gender-impact-young-womens-health-and" TargetMode="External"/><Relationship Id="rId14" Type="http://schemas.openxmlformats.org/officeDocument/2006/relationships/hyperlink" Target="https://www.ncbi.nlm.nih.gov/pubmed/29171076" TargetMode="External"/><Relationship Id="rId22" Type="http://schemas.openxmlformats.org/officeDocument/2006/relationships/hyperlink" Target="https://www.nedc.com.au/eating-disorders/eating-disorders-explained/obesity-and-eating-disorders/" TargetMode="External"/><Relationship Id="rId27" Type="http://schemas.openxmlformats.org/officeDocument/2006/relationships/hyperlink" Target="https://www.ncbi.nlm.nih.gov/pmc/articles/PMC438154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67e2a9cc-4925-4222-87a9-70e2b4c9b1d6" xsi:nil="true"/>
    <MigrationWizIdSecurityGroups xmlns="67e2a9cc-4925-4222-87a9-70e2b4c9b1d6" xsi:nil="true"/>
    <MigrationWizIdPermissions xmlns="67e2a9cc-4925-4222-87a9-70e2b4c9b1d6" xsi:nil="true"/>
    <MigrationWizIdPermissionLevels xmlns="67e2a9cc-4925-4222-87a9-70e2b4c9b1d6" xsi:nil="true"/>
    <MigrationWizIdDocumentLibraryPermissions xmlns="67e2a9cc-4925-4222-87a9-70e2b4c9b1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C7AF23D19A3648BD792115CBA6E45A" ma:contentTypeVersion="16" ma:contentTypeDescription="Create a new document." ma:contentTypeScope="" ma:versionID="e17667553a09eeb2a636e2af1a27a909">
  <xsd:schema xmlns:xsd="http://www.w3.org/2001/XMLSchema" xmlns:xs="http://www.w3.org/2001/XMLSchema" xmlns:p="http://schemas.microsoft.com/office/2006/metadata/properties" xmlns:ns3="67e2a9cc-4925-4222-87a9-70e2b4c9b1d6" xmlns:ns4="1cd9695e-faee-4af1-9970-c7dd6b621dfb" targetNamespace="http://schemas.microsoft.com/office/2006/metadata/properties" ma:root="true" ma:fieldsID="001e8083c5f0a4a7ddebf52d93bae84a" ns3:_="" ns4:_="">
    <xsd:import namespace="67e2a9cc-4925-4222-87a9-70e2b4c9b1d6"/>
    <xsd:import namespace="1cd9695e-faee-4af1-9970-c7dd6b621df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2a9cc-4925-4222-87a9-70e2b4c9b1d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9695e-faee-4af1-9970-c7dd6b621d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AA5C7-FCC2-4CA3-BDAC-30FD83479FC8}">
  <ds:schemaRefs>
    <ds:schemaRef ds:uri="http://purl.org/dc/terms/"/>
    <ds:schemaRef ds:uri="http://schemas.microsoft.com/office/infopath/2007/PartnerControls"/>
    <ds:schemaRef ds:uri="http://purl.org/dc/dcmitype/"/>
    <ds:schemaRef ds:uri="67e2a9cc-4925-4222-87a9-70e2b4c9b1d6"/>
    <ds:schemaRef ds:uri="http://schemas.microsoft.com/office/2006/documentManagement/types"/>
    <ds:schemaRef ds:uri="http://schemas.microsoft.com/office/2006/metadata/properties"/>
    <ds:schemaRef ds:uri="http://schemas.openxmlformats.org/package/2006/metadata/core-properties"/>
    <ds:schemaRef ds:uri="1cd9695e-faee-4af1-9970-c7dd6b621dfb"/>
    <ds:schemaRef ds:uri="http://www.w3.org/XML/1998/namespace"/>
    <ds:schemaRef ds:uri="http://purl.org/dc/elements/1.1/"/>
  </ds:schemaRefs>
</ds:datastoreItem>
</file>

<file path=customXml/itemProps2.xml><?xml version="1.0" encoding="utf-8"?>
<ds:datastoreItem xmlns:ds="http://schemas.openxmlformats.org/officeDocument/2006/customXml" ds:itemID="{997D3151-05E7-483B-88B6-F16EC988F5BB}">
  <ds:schemaRefs>
    <ds:schemaRef ds:uri="http://schemas.microsoft.com/sharepoint/v3/contenttype/forms"/>
  </ds:schemaRefs>
</ds:datastoreItem>
</file>

<file path=customXml/itemProps3.xml><?xml version="1.0" encoding="utf-8"?>
<ds:datastoreItem xmlns:ds="http://schemas.openxmlformats.org/officeDocument/2006/customXml" ds:itemID="{D9716DB5-BAF6-474A-AB71-A7AD6867A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2a9cc-4925-4222-87a9-70e2b4c9b1d6"/>
    <ds:schemaRef ds:uri="1cd9695e-faee-4af1-9970-c7dd6b621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AF5C6-9C2A-4D96-B979-43200650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2508</Words>
  <Characters>14301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Anderson</dc:creator>
  <cp:keywords/>
  <dc:description/>
  <cp:lastModifiedBy>Mischa Barr</cp:lastModifiedBy>
  <cp:revision>2</cp:revision>
  <cp:lastPrinted>2019-12-11T05:22:00Z</cp:lastPrinted>
  <dcterms:created xsi:type="dcterms:W3CDTF">2019-12-17T22:05:00Z</dcterms:created>
  <dcterms:modified xsi:type="dcterms:W3CDTF">2019-12-17T22:05:00Z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0x010100DCC7AF23D19A3648BD792115CBA6E45A</vt:lpwstr>
  </property>
</Properties>
</file>